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C960B" w14:textId="32E03296" w:rsidR="000B29DD" w:rsidRPr="009E316A" w:rsidRDefault="001605C1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aps/>
          <w:sz w:val="20"/>
          <w:szCs w:val="20"/>
        </w:rPr>
      </w:pPr>
      <w:r w:rsidRPr="0019192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bdr w:val="none" w:sz="0" w:space="0" w:color="auto" w:frame="1"/>
        </w:rPr>
        <w:t>POLICY</w:t>
      </w:r>
      <w:r w:rsidR="000B29DD" w:rsidRPr="0019192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bdr w:val="none" w:sz="0" w:space="0" w:color="auto" w:frame="1"/>
        </w:rPr>
        <w:t xml:space="preserve"> </w:t>
      </w:r>
      <w:r w:rsidR="000B29DD" w:rsidRPr="009E316A">
        <w:rPr>
          <w:rFonts w:ascii="Arial" w:eastAsia="Times New Roman" w:hAnsi="Arial" w:cs="Arial"/>
          <w:b/>
          <w:bCs/>
          <w:caps/>
          <w:sz w:val="20"/>
          <w:szCs w:val="20"/>
          <w:bdr w:val="none" w:sz="0" w:space="0" w:color="auto" w:frame="1"/>
        </w:rPr>
        <w:t>DETAILS:</w:t>
      </w:r>
      <w:r w:rsidR="00D76153" w:rsidRPr="009E316A">
        <w:rPr>
          <w:rFonts w:ascii="Arial" w:eastAsia="Times New Roman" w:hAnsi="Arial" w:cs="Arial"/>
          <w:b/>
          <w:bCs/>
          <w:caps/>
          <w:sz w:val="20"/>
          <w:szCs w:val="20"/>
          <w:bdr w:val="none" w:sz="0" w:space="0" w:color="auto" w:frame="1"/>
        </w:rPr>
        <w:t xml:space="preserve"> </w:t>
      </w:r>
      <w:r w:rsidR="0070049E" w:rsidRPr="009E316A">
        <w:rPr>
          <w:rFonts w:ascii="Arial" w:eastAsia="Times New Roman" w:hAnsi="Arial" w:cs="Arial"/>
          <w:bCs/>
          <w:caps/>
          <w:sz w:val="20"/>
          <w:szCs w:val="20"/>
          <w:bdr w:val="none" w:sz="0" w:space="0" w:color="auto" w:frame="1"/>
        </w:rPr>
        <w:t xml:space="preserve">SUBAWARD </w:t>
      </w:r>
      <w:r w:rsidR="00F11A00" w:rsidRPr="009E316A">
        <w:rPr>
          <w:rFonts w:ascii="Arial" w:eastAsia="Times New Roman" w:hAnsi="Arial" w:cs="Arial"/>
          <w:bCs/>
          <w:caps/>
          <w:sz w:val="20"/>
          <w:szCs w:val="20"/>
          <w:bdr w:val="none" w:sz="0" w:space="0" w:color="auto" w:frame="1"/>
        </w:rPr>
        <w:t xml:space="preserve">Management </w:t>
      </w:r>
      <w:r w:rsidR="0070049E" w:rsidRPr="009E316A">
        <w:rPr>
          <w:rFonts w:ascii="Arial" w:eastAsia="Times New Roman" w:hAnsi="Arial" w:cs="Arial"/>
          <w:bCs/>
          <w:caps/>
          <w:sz w:val="20"/>
          <w:szCs w:val="20"/>
          <w:bdr w:val="none" w:sz="0" w:space="0" w:color="auto" w:frame="1"/>
        </w:rPr>
        <w:t>POLICY</w:t>
      </w:r>
    </w:p>
    <w:p w14:paraId="2FB50794" w14:textId="77777777" w:rsidR="000B29DD" w:rsidRPr="009E316A" w:rsidRDefault="000B29DD" w:rsidP="00041763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OWNER:</w:t>
      </w:r>
      <w:r w:rsidRPr="009E316A">
        <w:rPr>
          <w:rFonts w:ascii="Arial" w:eastAsia="Times New Roman" w:hAnsi="Arial" w:cs="Arial"/>
          <w:sz w:val="20"/>
          <w:szCs w:val="20"/>
        </w:rPr>
        <w:t> UD Research Office</w:t>
      </w:r>
    </w:p>
    <w:p w14:paraId="4EF07B9A" w14:textId="77777777" w:rsidR="000B29DD" w:rsidRPr="009E316A" w:rsidRDefault="000B29DD" w:rsidP="00041763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RESPONSIBLE OFFICE:</w:t>
      </w:r>
      <w:r w:rsidRPr="009E316A">
        <w:rPr>
          <w:rFonts w:ascii="Arial" w:eastAsia="Times New Roman" w:hAnsi="Arial" w:cs="Arial"/>
          <w:sz w:val="20"/>
          <w:szCs w:val="20"/>
        </w:rPr>
        <w:t> UD Research Office</w:t>
      </w:r>
    </w:p>
    <w:p w14:paraId="7AC29DAE" w14:textId="41D4F87A" w:rsidR="000B29DD" w:rsidRPr="0019192A" w:rsidRDefault="000B29DD" w:rsidP="4F5EC525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1919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ORIGINATION DATE:</w:t>
      </w:r>
      <w:r w:rsidRPr="0019192A">
        <w:rPr>
          <w:rFonts w:ascii="Arial" w:eastAsia="Times New Roman" w:hAnsi="Arial" w:cs="Arial"/>
          <w:color w:val="737373"/>
          <w:sz w:val="20"/>
          <w:szCs w:val="20"/>
        </w:rPr>
        <w:t> </w:t>
      </w:r>
      <w:r w:rsidR="0023399D" w:rsidRPr="009E316A">
        <w:rPr>
          <w:rFonts w:ascii="Arial" w:eastAsia="Times New Roman" w:hAnsi="Arial" w:cs="Arial"/>
          <w:sz w:val="20"/>
          <w:szCs w:val="20"/>
        </w:rPr>
        <w:t>Issued</w:t>
      </w:r>
      <w:r w:rsidR="7FE34F5F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7FE34F5F" w:rsidRPr="4F5EC525">
        <w:rPr>
          <w:rFonts w:ascii="Arial" w:eastAsia="Times New Roman" w:hAnsi="Arial" w:cs="Arial"/>
          <w:color w:val="FF0000"/>
          <w:sz w:val="20"/>
          <w:szCs w:val="20"/>
        </w:rPr>
        <w:t xml:space="preserve">February </w:t>
      </w:r>
      <w:r w:rsidR="0000006C">
        <w:rPr>
          <w:rFonts w:ascii="Arial" w:eastAsia="Times New Roman" w:hAnsi="Arial" w:cs="Arial"/>
          <w:color w:val="FF0000"/>
          <w:sz w:val="20"/>
          <w:szCs w:val="20"/>
        </w:rPr>
        <w:t>7</w:t>
      </w:r>
      <w:r w:rsidR="7FE34F5F" w:rsidRPr="4F5EC525">
        <w:rPr>
          <w:rFonts w:ascii="Arial" w:eastAsia="Times New Roman" w:hAnsi="Arial" w:cs="Arial"/>
          <w:color w:val="FF0000"/>
          <w:sz w:val="20"/>
          <w:szCs w:val="20"/>
        </w:rPr>
        <w:t>, 2020</w:t>
      </w:r>
    </w:p>
    <w:p w14:paraId="57BDBFCD" w14:textId="76450225" w:rsidR="00942950" w:rsidRPr="0019192A" w:rsidRDefault="00942950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37373"/>
          <w:sz w:val="20"/>
          <w:szCs w:val="20"/>
        </w:rPr>
      </w:pPr>
    </w:p>
    <w:p w14:paraId="507043D8" w14:textId="5E681E0E" w:rsidR="00034D25" w:rsidRPr="0019192A" w:rsidRDefault="0081286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FFFFFF"/>
          <w:sz w:val="20"/>
          <w:szCs w:val="20"/>
        </w:rPr>
      </w:pPr>
      <w:bookmarkStart w:id="0" w:name="_Hlk22042244"/>
      <w:r w:rsidRPr="0019192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bdr w:val="none" w:sz="0" w:space="0" w:color="auto" w:frame="1"/>
        </w:rPr>
        <w:t>sub</w:t>
      </w:r>
      <w:r w:rsidR="0070049E" w:rsidRPr="0019192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bdr w:val="none" w:sz="0" w:space="0" w:color="auto" w:frame="1"/>
        </w:rPr>
        <w:t xml:space="preserve">award </w:t>
      </w:r>
      <w:r w:rsidR="00F11A00" w:rsidRPr="0019192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bdr w:val="none" w:sz="0" w:space="0" w:color="auto" w:frame="1"/>
        </w:rPr>
        <w:t xml:space="preserve">Management </w:t>
      </w:r>
      <w:r w:rsidRPr="0019192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bdr w:val="none" w:sz="0" w:space="0" w:color="auto" w:frame="1"/>
        </w:rPr>
        <w:t>Policy</w:t>
      </w:r>
      <w:bookmarkEnd w:id="0"/>
    </w:p>
    <w:p w14:paraId="60E564FF" w14:textId="77777777" w:rsidR="00034D25" w:rsidRPr="0019192A" w:rsidRDefault="00034D25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0"/>
          <w:szCs w:val="20"/>
        </w:rPr>
      </w:pPr>
    </w:p>
    <w:p w14:paraId="2E089150" w14:textId="670EC73D" w:rsidR="0023399D" w:rsidRPr="0019192A" w:rsidRDefault="00471CB8" w:rsidP="000417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9192A">
        <w:rPr>
          <w:rFonts w:ascii="Arial" w:eastAsia="Times New Roman" w:hAnsi="Arial" w:cs="Arial"/>
          <w:b/>
          <w:bCs/>
          <w:sz w:val="20"/>
          <w:szCs w:val="20"/>
        </w:rPr>
        <w:t xml:space="preserve">I. </w:t>
      </w:r>
      <w:r w:rsidR="0081286D" w:rsidRPr="0019192A">
        <w:rPr>
          <w:rFonts w:ascii="Arial" w:eastAsia="Times New Roman" w:hAnsi="Arial" w:cs="Arial"/>
          <w:b/>
          <w:bCs/>
          <w:sz w:val="20"/>
          <w:szCs w:val="20"/>
        </w:rPr>
        <w:t>SCOPE OF POLICY</w:t>
      </w:r>
    </w:p>
    <w:p w14:paraId="58E9B431" w14:textId="5080DEA0" w:rsidR="0023399D" w:rsidRPr="009E316A" w:rsidRDefault="0023399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646855B" w14:textId="67D9D70D" w:rsidR="00F9089D" w:rsidRPr="009E316A" w:rsidRDefault="00F9089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This policy sets forth requirements for </w:t>
      </w:r>
      <w:r w:rsidR="00AD7A03" w:rsidRPr="009E316A">
        <w:rPr>
          <w:rFonts w:ascii="Arial" w:eastAsia="Times New Roman" w:hAnsi="Arial" w:cs="Arial"/>
          <w:sz w:val="20"/>
          <w:szCs w:val="20"/>
        </w:rPr>
        <w:t>issuance and administration</w:t>
      </w:r>
      <w:r w:rsidRPr="009E316A">
        <w:rPr>
          <w:rFonts w:ascii="Arial" w:eastAsia="Times New Roman" w:hAnsi="Arial" w:cs="Arial"/>
          <w:sz w:val="20"/>
          <w:szCs w:val="20"/>
        </w:rPr>
        <w:t xml:space="preserve"> of outgoing subawards and applies to all departments, faculty, and staff involved in externally sponsored research at </w:t>
      </w:r>
      <w:r w:rsidR="005B7306" w:rsidRPr="009E316A">
        <w:rPr>
          <w:rFonts w:ascii="Arial" w:eastAsia="Times New Roman" w:hAnsi="Arial" w:cs="Arial"/>
          <w:sz w:val="20"/>
          <w:szCs w:val="20"/>
        </w:rPr>
        <w:t>the University of Delaware (UD)</w:t>
      </w:r>
      <w:r w:rsidRPr="009E316A">
        <w:rPr>
          <w:rFonts w:ascii="Arial" w:eastAsia="Times New Roman" w:hAnsi="Arial" w:cs="Arial"/>
          <w:sz w:val="20"/>
          <w:szCs w:val="20"/>
        </w:rPr>
        <w:t>.</w:t>
      </w:r>
    </w:p>
    <w:p w14:paraId="724F8B69" w14:textId="77777777" w:rsidR="00F9089D" w:rsidRPr="009E316A" w:rsidRDefault="00F9089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B6C1F15" w14:textId="38E183D0" w:rsidR="0023399D" w:rsidRPr="009E316A" w:rsidRDefault="00471CB8" w:rsidP="000417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II. </w:t>
      </w:r>
      <w:r w:rsidR="0081286D" w:rsidRPr="009E316A">
        <w:rPr>
          <w:rFonts w:ascii="Arial" w:eastAsia="Times New Roman" w:hAnsi="Arial" w:cs="Arial"/>
          <w:b/>
          <w:bCs/>
          <w:sz w:val="20"/>
          <w:szCs w:val="20"/>
        </w:rPr>
        <w:t>DEFINITIONS</w:t>
      </w:r>
    </w:p>
    <w:p w14:paraId="62B5FAA1" w14:textId="641DC7F9" w:rsidR="0023399D" w:rsidRPr="009E316A" w:rsidRDefault="0023399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3F2F18C" w14:textId="7D024945" w:rsidR="00AE49E0" w:rsidRPr="009E316A" w:rsidRDefault="00FC72E7" w:rsidP="00041763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Sponsor </w:t>
      </w:r>
      <w:r w:rsidR="00AE49E0" w:rsidRPr="009E316A">
        <w:rPr>
          <w:rFonts w:ascii="Arial" w:eastAsia="Times New Roman" w:hAnsi="Arial" w:cs="Arial"/>
          <w:sz w:val="20"/>
          <w:szCs w:val="20"/>
        </w:rPr>
        <w:t>or</w:t>
      </w:r>
      <w:r w:rsidR="00AE49E0"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 Sponsoring Agency</w:t>
      </w:r>
      <w:r w:rsidR="00E80C78"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80C78" w:rsidRPr="009E316A">
        <w:rPr>
          <w:rFonts w:ascii="Arial" w:eastAsia="Times New Roman" w:hAnsi="Arial" w:cs="Arial"/>
          <w:sz w:val="20"/>
          <w:szCs w:val="20"/>
        </w:rPr>
        <w:t xml:space="preserve">or </w:t>
      </w:r>
      <w:r w:rsidR="00E80C78" w:rsidRPr="009E316A">
        <w:rPr>
          <w:rFonts w:ascii="Arial" w:eastAsia="Times New Roman" w:hAnsi="Arial" w:cs="Arial"/>
          <w:b/>
          <w:bCs/>
          <w:sz w:val="20"/>
          <w:szCs w:val="20"/>
        </w:rPr>
        <w:t>Prime Sponsor</w:t>
      </w:r>
      <w:r w:rsidR="00AE49E0" w:rsidRPr="009E316A">
        <w:rPr>
          <w:rFonts w:ascii="Arial" w:eastAsia="Times New Roman" w:hAnsi="Arial" w:cs="Arial"/>
          <w:sz w:val="20"/>
          <w:szCs w:val="20"/>
        </w:rPr>
        <w:t xml:space="preserve"> – An external entity responsible for providing project funding to UD under a</w:t>
      </w:r>
      <w:r w:rsidR="0070049E" w:rsidRPr="009E316A">
        <w:rPr>
          <w:rFonts w:ascii="Arial" w:eastAsia="Times New Roman" w:hAnsi="Arial" w:cs="Arial"/>
          <w:sz w:val="20"/>
          <w:szCs w:val="20"/>
        </w:rPr>
        <w:t xml:space="preserve"> formal</w:t>
      </w:r>
      <w:r w:rsidR="00AE49E0" w:rsidRPr="009E316A">
        <w:rPr>
          <w:rFonts w:ascii="Arial" w:eastAsia="Times New Roman" w:hAnsi="Arial" w:cs="Arial"/>
          <w:sz w:val="20"/>
          <w:szCs w:val="20"/>
        </w:rPr>
        <w:t xml:space="preserve"> award agreement.</w:t>
      </w:r>
      <w:r w:rsidR="00086B8A" w:rsidRPr="009E316A">
        <w:rPr>
          <w:rFonts w:ascii="Arial" w:eastAsia="Times New Roman" w:hAnsi="Arial" w:cs="Arial"/>
          <w:sz w:val="20"/>
          <w:szCs w:val="20"/>
        </w:rPr>
        <w:t xml:space="preserve"> Also known as Prime Sponsor.</w:t>
      </w:r>
    </w:p>
    <w:p w14:paraId="2DA1B0A1" w14:textId="2A60E0CE" w:rsidR="003C7E31" w:rsidRPr="009E316A" w:rsidRDefault="00FC72E7" w:rsidP="0004176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Sponsored</w:t>
      </w:r>
      <w:r w:rsidR="003C7E31"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 Award</w:t>
      </w:r>
      <w:r w:rsidR="003C7E31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E80C78" w:rsidRPr="009E316A">
        <w:rPr>
          <w:rFonts w:ascii="Arial" w:eastAsia="Times New Roman" w:hAnsi="Arial" w:cs="Arial"/>
          <w:sz w:val="20"/>
          <w:szCs w:val="20"/>
        </w:rPr>
        <w:t xml:space="preserve">or </w:t>
      </w:r>
      <w:r w:rsidR="00E80C78"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Prime Award </w:t>
      </w:r>
      <w:r w:rsidR="003C7E31" w:rsidRPr="009E316A">
        <w:rPr>
          <w:rFonts w:ascii="Arial" w:eastAsia="Times New Roman" w:hAnsi="Arial" w:cs="Arial"/>
          <w:sz w:val="20"/>
          <w:szCs w:val="20"/>
        </w:rPr>
        <w:t xml:space="preserve">– A </w:t>
      </w:r>
      <w:r w:rsidR="00F67B8B" w:rsidRPr="009E316A">
        <w:rPr>
          <w:rFonts w:ascii="Arial" w:eastAsia="Times New Roman" w:hAnsi="Arial" w:cs="Arial"/>
          <w:sz w:val="20"/>
          <w:szCs w:val="20"/>
        </w:rPr>
        <w:t>formal award agreement issu</w:t>
      </w:r>
      <w:r w:rsidR="0070049E" w:rsidRPr="009E316A">
        <w:rPr>
          <w:rFonts w:ascii="Arial" w:eastAsia="Times New Roman" w:hAnsi="Arial" w:cs="Arial"/>
          <w:sz w:val="20"/>
          <w:szCs w:val="20"/>
        </w:rPr>
        <w:t>ing funding</w:t>
      </w:r>
      <w:r w:rsidR="00F67B8B" w:rsidRPr="009E316A">
        <w:rPr>
          <w:rFonts w:ascii="Arial" w:eastAsia="Times New Roman" w:hAnsi="Arial" w:cs="Arial"/>
          <w:sz w:val="20"/>
          <w:szCs w:val="20"/>
        </w:rPr>
        <w:t xml:space="preserve"> from </w:t>
      </w:r>
      <w:r w:rsidR="003C7E31" w:rsidRPr="009E316A">
        <w:rPr>
          <w:rFonts w:ascii="Arial" w:eastAsia="Times New Roman" w:hAnsi="Arial" w:cs="Arial"/>
          <w:sz w:val="20"/>
          <w:szCs w:val="20"/>
        </w:rPr>
        <w:t>an external</w:t>
      </w:r>
      <w:r w:rsidR="0070049E" w:rsidRPr="009E316A">
        <w:rPr>
          <w:rFonts w:ascii="Arial" w:eastAsia="Times New Roman" w:hAnsi="Arial" w:cs="Arial"/>
          <w:sz w:val="20"/>
          <w:szCs w:val="20"/>
        </w:rPr>
        <w:t xml:space="preserve"> sponsoring agency</w:t>
      </w:r>
      <w:r w:rsidR="003C7E31" w:rsidRPr="009E316A">
        <w:rPr>
          <w:rFonts w:ascii="Arial" w:eastAsia="Times New Roman" w:hAnsi="Arial" w:cs="Arial"/>
          <w:sz w:val="20"/>
          <w:szCs w:val="20"/>
        </w:rPr>
        <w:t xml:space="preserve"> to</w:t>
      </w:r>
      <w:r w:rsidR="00F67B8B" w:rsidRPr="009E316A">
        <w:rPr>
          <w:rFonts w:ascii="Arial" w:eastAsia="Times New Roman" w:hAnsi="Arial" w:cs="Arial"/>
          <w:sz w:val="20"/>
          <w:szCs w:val="20"/>
        </w:rPr>
        <w:t xml:space="preserve"> UD to</w:t>
      </w:r>
      <w:r w:rsidR="003C7E31" w:rsidRPr="009E316A">
        <w:rPr>
          <w:rFonts w:ascii="Arial" w:eastAsia="Times New Roman" w:hAnsi="Arial" w:cs="Arial"/>
          <w:sz w:val="20"/>
          <w:szCs w:val="20"/>
        </w:rPr>
        <w:t xml:space="preserve"> achieve specifi</w:t>
      </w:r>
      <w:r w:rsidR="00F67B8B" w:rsidRPr="009E316A">
        <w:rPr>
          <w:rFonts w:ascii="Arial" w:eastAsia="Times New Roman" w:hAnsi="Arial" w:cs="Arial"/>
          <w:sz w:val="20"/>
          <w:szCs w:val="20"/>
        </w:rPr>
        <w:t>ed</w:t>
      </w:r>
      <w:r w:rsidR="003C7E31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F67B8B" w:rsidRPr="009E316A">
        <w:rPr>
          <w:rFonts w:ascii="Arial" w:eastAsia="Times New Roman" w:hAnsi="Arial" w:cs="Arial"/>
          <w:sz w:val="20"/>
          <w:szCs w:val="20"/>
        </w:rPr>
        <w:t xml:space="preserve">project </w:t>
      </w:r>
      <w:r w:rsidR="003C7E31" w:rsidRPr="009E316A">
        <w:rPr>
          <w:rFonts w:ascii="Arial" w:eastAsia="Times New Roman" w:hAnsi="Arial" w:cs="Arial"/>
          <w:sz w:val="20"/>
          <w:szCs w:val="20"/>
        </w:rPr>
        <w:t>goals.</w:t>
      </w:r>
      <w:r w:rsidR="00086B8A" w:rsidRPr="009E316A">
        <w:rPr>
          <w:rFonts w:ascii="Arial" w:eastAsia="Times New Roman" w:hAnsi="Arial" w:cs="Arial"/>
          <w:sz w:val="20"/>
          <w:szCs w:val="20"/>
        </w:rPr>
        <w:t xml:space="preserve"> Also known as Prime Sponsored Award.</w:t>
      </w:r>
    </w:p>
    <w:p w14:paraId="0EF520C0" w14:textId="29291199" w:rsidR="003C7E31" w:rsidRPr="009E316A" w:rsidRDefault="003C7E31" w:rsidP="0004176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Pass Through Funds </w:t>
      </w:r>
      <w:r w:rsidRPr="009E316A">
        <w:rPr>
          <w:rFonts w:ascii="Arial" w:eastAsia="Times New Roman" w:hAnsi="Arial" w:cs="Arial"/>
          <w:sz w:val="20"/>
          <w:szCs w:val="20"/>
        </w:rPr>
        <w:t>– Funds originally issued to UD which are subsequently transferred to a subrecipient to implement sponsored award activities.</w:t>
      </w:r>
    </w:p>
    <w:p w14:paraId="17E1EB60" w14:textId="6A15C5BA" w:rsidR="00AE49E0" w:rsidRPr="009E316A" w:rsidRDefault="00AE49E0" w:rsidP="0004176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Subrecipient </w:t>
      </w:r>
      <w:r w:rsidRPr="009E316A">
        <w:rPr>
          <w:rFonts w:ascii="Arial" w:eastAsia="Times New Roman" w:hAnsi="Arial" w:cs="Arial"/>
          <w:sz w:val="20"/>
          <w:szCs w:val="20"/>
        </w:rPr>
        <w:t>– A</w:t>
      </w:r>
      <w:r w:rsidR="00A57C96" w:rsidRPr="009E316A">
        <w:rPr>
          <w:rFonts w:ascii="Arial" w:eastAsia="Times New Roman" w:hAnsi="Arial" w:cs="Arial"/>
          <w:sz w:val="20"/>
          <w:szCs w:val="20"/>
        </w:rPr>
        <w:t xml:space="preserve">n external </w:t>
      </w:r>
      <w:r w:rsidRPr="009E316A">
        <w:rPr>
          <w:rFonts w:ascii="Arial" w:eastAsia="Times New Roman" w:hAnsi="Arial" w:cs="Arial"/>
          <w:sz w:val="20"/>
          <w:szCs w:val="20"/>
        </w:rPr>
        <w:t xml:space="preserve">entity that receives pass-through funds </w:t>
      </w:r>
      <w:r w:rsidR="00F67B8B" w:rsidRPr="009E316A">
        <w:rPr>
          <w:rFonts w:ascii="Arial" w:eastAsia="Times New Roman" w:hAnsi="Arial" w:cs="Arial"/>
          <w:sz w:val="20"/>
          <w:szCs w:val="20"/>
        </w:rPr>
        <w:t xml:space="preserve">via a subaward </w:t>
      </w:r>
      <w:r w:rsidRPr="009E316A">
        <w:rPr>
          <w:rFonts w:ascii="Arial" w:eastAsia="Times New Roman" w:hAnsi="Arial" w:cs="Arial"/>
          <w:sz w:val="20"/>
          <w:szCs w:val="20"/>
        </w:rPr>
        <w:t xml:space="preserve">from UD </w:t>
      </w:r>
      <w:r w:rsidR="00F67B8B" w:rsidRPr="009E316A">
        <w:rPr>
          <w:rFonts w:ascii="Arial" w:eastAsia="Times New Roman" w:hAnsi="Arial" w:cs="Arial"/>
          <w:sz w:val="20"/>
          <w:szCs w:val="20"/>
        </w:rPr>
        <w:t>to implement a specified portion of sponsored award activities</w:t>
      </w:r>
      <w:r w:rsidRPr="009E316A">
        <w:rPr>
          <w:rFonts w:ascii="Arial" w:eastAsia="Times New Roman" w:hAnsi="Arial" w:cs="Arial"/>
          <w:sz w:val="20"/>
          <w:szCs w:val="20"/>
        </w:rPr>
        <w:t>.</w:t>
      </w:r>
      <w:r w:rsidR="00F67B8B" w:rsidRPr="009E316A">
        <w:rPr>
          <w:rFonts w:ascii="Arial" w:eastAsia="Times New Roman" w:hAnsi="Arial" w:cs="Arial"/>
          <w:sz w:val="20"/>
          <w:szCs w:val="20"/>
        </w:rPr>
        <w:t xml:space="preserve"> Also known as </w:t>
      </w:r>
      <w:proofErr w:type="spellStart"/>
      <w:r w:rsidR="00F67B8B" w:rsidRPr="009E316A">
        <w:rPr>
          <w:rFonts w:ascii="Arial" w:eastAsia="Times New Roman" w:hAnsi="Arial" w:cs="Arial"/>
          <w:sz w:val="20"/>
          <w:szCs w:val="20"/>
        </w:rPr>
        <w:t>subawardee</w:t>
      </w:r>
      <w:proofErr w:type="spellEnd"/>
      <w:r w:rsidR="00F67B8B" w:rsidRPr="009E316A">
        <w:rPr>
          <w:rFonts w:ascii="Arial" w:eastAsia="Times New Roman" w:hAnsi="Arial" w:cs="Arial"/>
          <w:sz w:val="20"/>
          <w:szCs w:val="20"/>
        </w:rPr>
        <w:t xml:space="preserve">, subgrantee, or </w:t>
      </w:r>
      <w:proofErr w:type="spellStart"/>
      <w:r w:rsidR="00F67B8B" w:rsidRPr="009E316A">
        <w:rPr>
          <w:rFonts w:ascii="Arial" w:eastAsia="Times New Roman" w:hAnsi="Arial" w:cs="Arial"/>
          <w:sz w:val="20"/>
          <w:szCs w:val="20"/>
        </w:rPr>
        <w:t>subcontractee</w:t>
      </w:r>
      <w:proofErr w:type="spellEnd"/>
      <w:r w:rsidR="00F67B8B" w:rsidRPr="009E316A">
        <w:rPr>
          <w:rFonts w:ascii="Arial" w:eastAsia="Times New Roman" w:hAnsi="Arial" w:cs="Arial"/>
          <w:sz w:val="20"/>
          <w:szCs w:val="20"/>
        </w:rPr>
        <w:t>.</w:t>
      </w:r>
    </w:p>
    <w:p w14:paraId="5912176A" w14:textId="79C96EB9" w:rsidR="00A57C96" w:rsidRPr="009E316A" w:rsidRDefault="00A57C96" w:rsidP="0004176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Contractor – </w:t>
      </w:r>
      <w:r w:rsidRPr="009E316A">
        <w:rPr>
          <w:rFonts w:ascii="Arial" w:eastAsia="Times New Roman" w:hAnsi="Arial" w:cs="Arial"/>
          <w:sz w:val="20"/>
          <w:szCs w:val="20"/>
        </w:rPr>
        <w:t>An external entity that receives funding from UD via a procurement contract to provide goods or services related to the sponsored award. Examples of external contractors include a Consultant, Vendor, or Service Provider relationship.</w:t>
      </w:r>
    </w:p>
    <w:p w14:paraId="38BC6120" w14:textId="62FA9BF5" w:rsidR="003C7E31" w:rsidRPr="009E316A" w:rsidRDefault="003C7E31" w:rsidP="0004176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Subaward – </w:t>
      </w:r>
      <w:r w:rsidRPr="009E316A">
        <w:rPr>
          <w:rFonts w:ascii="Arial" w:eastAsia="Times New Roman" w:hAnsi="Arial" w:cs="Arial"/>
          <w:sz w:val="20"/>
          <w:szCs w:val="20"/>
        </w:rPr>
        <w:t>A</w:t>
      </w:r>
      <w:r w:rsidR="00F67B8B" w:rsidRPr="009E316A">
        <w:rPr>
          <w:rFonts w:ascii="Arial" w:eastAsia="Times New Roman" w:hAnsi="Arial" w:cs="Arial"/>
          <w:sz w:val="20"/>
          <w:szCs w:val="20"/>
        </w:rPr>
        <w:t xml:space="preserve"> formal</w:t>
      </w:r>
      <w:r w:rsidRPr="009E316A">
        <w:rPr>
          <w:rFonts w:ascii="Arial" w:eastAsia="Times New Roman" w:hAnsi="Arial" w:cs="Arial"/>
          <w:sz w:val="20"/>
          <w:szCs w:val="20"/>
        </w:rPr>
        <w:t xml:space="preserve"> award</w:t>
      </w:r>
      <w:r w:rsidR="00F67B8B" w:rsidRPr="009E316A">
        <w:rPr>
          <w:rFonts w:ascii="Arial" w:eastAsia="Times New Roman" w:hAnsi="Arial" w:cs="Arial"/>
          <w:sz w:val="20"/>
          <w:szCs w:val="20"/>
        </w:rPr>
        <w:t xml:space="preserve"> agreement</w:t>
      </w:r>
      <w:r w:rsidRPr="009E316A">
        <w:rPr>
          <w:rFonts w:ascii="Arial" w:eastAsia="Times New Roman" w:hAnsi="Arial" w:cs="Arial"/>
          <w:sz w:val="20"/>
          <w:szCs w:val="20"/>
        </w:rPr>
        <w:t xml:space="preserve"> iss</w:t>
      </w:r>
      <w:r w:rsidR="00F67B8B" w:rsidRPr="009E316A">
        <w:rPr>
          <w:rFonts w:ascii="Arial" w:eastAsia="Times New Roman" w:hAnsi="Arial" w:cs="Arial"/>
          <w:sz w:val="20"/>
          <w:szCs w:val="20"/>
        </w:rPr>
        <w:t>uing pass through funds</w:t>
      </w:r>
      <w:r w:rsidR="00AE49E0" w:rsidRPr="009E316A">
        <w:rPr>
          <w:rFonts w:ascii="Arial" w:eastAsia="Times New Roman" w:hAnsi="Arial" w:cs="Arial"/>
          <w:sz w:val="20"/>
          <w:szCs w:val="20"/>
        </w:rPr>
        <w:t xml:space="preserve"> from UD to a subrecipient</w:t>
      </w:r>
      <w:r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F67B8B" w:rsidRPr="009E316A">
        <w:rPr>
          <w:rFonts w:ascii="Arial" w:eastAsia="Times New Roman" w:hAnsi="Arial" w:cs="Arial"/>
          <w:sz w:val="20"/>
          <w:szCs w:val="20"/>
        </w:rPr>
        <w:t>to implement a specified portion of sponsored award activities</w:t>
      </w:r>
      <w:r w:rsidR="00AE49E0" w:rsidRPr="009E316A">
        <w:rPr>
          <w:rFonts w:ascii="Arial" w:eastAsia="Times New Roman" w:hAnsi="Arial" w:cs="Arial"/>
          <w:sz w:val="20"/>
          <w:szCs w:val="20"/>
        </w:rPr>
        <w:t>.</w:t>
      </w:r>
      <w:r w:rsidR="00F67B8B" w:rsidRPr="009E316A">
        <w:rPr>
          <w:rFonts w:ascii="Arial" w:eastAsia="Times New Roman" w:hAnsi="Arial" w:cs="Arial"/>
          <w:sz w:val="20"/>
          <w:szCs w:val="20"/>
        </w:rPr>
        <w:t xml:space="preserve"> Also known as a </w:t>
      </w:r>
      <w:proofErr w:type="spellStart"/>
      <w:r w:rsidR="00F67B8B" w:rsidRPr="009E316A">
        <w:rPr>
          <w:rFonts w:ascii="Arial" w:eastAsia="Times New Roman" w:hAnsi="Arial" w:cs="Arial"/>
          <w:sz w:val="20"/>
          <w:szCs w:val="20"/>
        </w:rPr>
        <w:t>subagreement</w:t>
      </w:r>
      <w:proofErr w:type="spellEnd"/>
      <w:r w:rsidR="00F67B8B" w:rsidRPr="009E316A">
        <w:rPr>
          <w:rFonts w:ascii="Arial" w:eastAsia="Times New Roman" w:hAnsi="Arial" w:cs="Arial"/>
          <w:sz w:val="20"/>
          <w:szCs w:val="20"/>
        </w:rPr>
        <w:t>, subgrant, or subcontract.</w:t>
      </w:r>
    </w:p>
    <w:p w14:paraId="433DFA38" w14:textId="3AA3FAA5" w:rsidR="006879AE" w:rsidRPr="009E316A" w:rsidRDefault="006879AE" w:rsidP="0004176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Procurement Contract</w:t>
      </w:r>
      <w:r w:rsidRPr="009E316A">
        <w:rPr>
          <w:rFonts w:ascii="Arial" w:eastAsia="Times New Roman" w:hAnsi="Arial" w:cs="Arial"/>
          <w:sz w:val="20"/>
          <w:szCs w:val="20"/>
        </w:rPr>
        <w:t xml:space="preserve"> – A formal contract agreement issued from UD to a contractor to provide specified goods or services under the prime sponsored award.</w:t>
      </w:r>
    </w:p>
    <w:p w14:paraId="41EF32B4" w14:textId="2EBC4562" w:rsidR="003C7E31" w:rsidRPr="009E316A" w:rsidRDefault="003C7E31" w:rsidP="00041763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Single Audit</w:t>
      </w:r>
      <w:r w:rsidRPr="009E316A">
        <w:rPr>
          <w:rFonts w:ascii="Arial" w:eastAsia="Times New Roman" w:hAnsi="Arial" w:cs="Arial"/>
          <w:sz w:val="20"/>
          <w:szCs w:val="20"/>
        </w:rPr>
        <w:t xml:space="preserve"> – A compliance and financial audit required of any institution receiving over $750,000 in federal funds to assure effective management and use of funds. Also known as the </w:t>
      </w:r>
      <w:r w:rsidR="00AE49E0" w:rsidRPr="009E316A">
        <w:rPr>
          <w:rFonts w:ascii="Arial" w:eastAsia="Times New Roman" w:hAnsi="Arial" w:cs="Arial"/>
          <w:sz w:val="20"/>
          <w:szCs w:val="20"/>
        </w:rPr>
        <w:t>“</w:t>
      </w:r>
      <w:r w:rsidRPr="009E316A">
        <w:rPr>
          <w:rFonts w:ascii="Arial" w:eastAsia="Times New Roman" w:hAnsi="Arial" w:cs="Arial"/>
          <w:sz w:val="20"/>
          <w:szCs w:val="20"/>
        </w:rPr>
        <w:t>A-133</w:t>
      </w:r>
      <w:r w:rsidR="00AE49E0" w:rsidRPr="009E316A">
        <w:rPr>
          <w:rFonts w:ascii="Arial" w:eastAsia="Times New Roman" w:hAnsi="Arial" w:cs="Arial"/>
          <w:sz w:val="20"/>
          <w:szCs w:val="20"/>
        </w:rPr>
        <w:t>”</w:t>
      </w:r>
      <w:r w:rsidRPr="009E316A">
        <w:rPr>
          <w:rFonts w:ascii="Arial" w:eastAsia="Times New Roman" w:hAnsi="Arial" w:cs="Arial"/>
          <w:sz w:val="20"/>
          <w:szCs w:val="20"/>
        </w:rPr>
        <w:t xml:space="preserve"> audit.</w:t>
      </w:r>
    </w:p>
    <w:p w14:paraId="07BE87F0" w14:textId="6563E98D" w:rsidR="006D74F6" w:rsidRPr="009E316A" w:rsidRDefault="006D74F6" w:rsidP="006D74F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Authorized Institutional Official</w:t>
      </w:r>
      <w:r w:rsidRPr="009E316A">
        <w:rPr>
          <w:rFonts w:ascii="Arial" w:eastAsia="Times New Roman" w:hAnsi="Arial" w:cs="Arial"/>
          <w:sz w:val="20"/>
          <w:szCs w:val="20"/>
        </w:rPr>
        <w:t xml:space="preserve"> – An individual officially designated with institutional authority to legally bind UD in grants administration matters.</w:t>
      </w:r>
    </w:p>
    <w:p w14:paraId="4503A89B" w14:textId="0AA882F3" w:rsidR="00033129" w:rsidRPr="00033129" w:rsidRDefault="00033129" w:rsidP="0003312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Federal Funding Accounting and Transparency Act (FFATA)</w:t>
      </w:r>
      <w:r w:rsidRPr="009E316A">
        <w:rPr>
          <w:rFonts w:ascii="Arial" w:eastAsia="Times New Roman" w:hAnsi="Arial" w:cs="Arial"/>
          <w:sz w:val="20"/>
          <w:szCs w:val="20"/>
        </w:rPr>
        <w:t xml:space="preserve"> – A 2006 act of Congress that requires information on federal awards to be made available to the public via </w:t>
      </w:r>
      <w:hyperlink r:id="rId8" w:history="1">
        <w:r w:rsidRPr="00817BB0">
          <w:rPr>
            <w:rStyle w:val="Hyperlink"/>
            <w:rFonts w:ascii="Arial" w:eastAsia="Times New Roman" w:hAnsi="Arial" w:cs="Arial"/>
            <w:sz w:val="20"/>
            <w:szCs w:val="20"/>
          </w:rPr>
          <w:t>www.USASpending.gov</w:t>
        </w:r>
      </w:hyperlink>
      <w:r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14:paraId="73B56687" w14:textId="7A5CEABF" w:rsidR="0023399D" w:rsidRPr="009E316A" w:rsidRDefault="0023399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3E27B16" w14:textId="071ED8DC" w:rsidR="0023399D" w:rsidRPr="009E316A" w:rsidRDefault="00471CB8" w:rsidP="000417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III. </w:t>
      </w:r>
      <w:r w:rsidR="0023399D"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POLICY </w:t>
      </w:r>
      <w:r w:rsidR="0081286D" w:rsidRPr="009E316A">
        <w:rPr>
          <w:rFonts w:ascii="Arial" w:eastAsia="Times New Roman" w:hAnsi="Arial" w:cs="Arial"/>
          <w:b/>
          <w:bCs/>
          <w:sz w:val="20"/>
          <w:szCs w:val="20"/>
        </w:rPr>
        <w:t>STATEMENT</w:t>
      </w:r>
    </w:p>
    <w:p w14:paraId="1662853D" w14:textId="64D3B7E0" w:rsidR="0081286D" w:rsidRPr="009E316A" w:rsidRDefault="0081286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7312750" w14:textId="77777777" w:rsidR="00434F0A" w:rsidRPr="009E316A" w:rsidRDefault="00F9089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The objective of this policy is to provide guidance to Principal Investigators (PIs), Department/College Administrators, Research Office Administrators, and other responsible UD parties for </w:t>
      </w:r>
      <w:r w:rsidR="00AD7A03" w:rsidRPr="009E316A">
        <w:rPr>
          <w:rFonts w:ascii="Arial" w:eastAsia="Times New Roman" w:hAnsi="Arial" w:cs="Arial"/>
          <w:sz w:val="20"/>
          <w:szCs w:val="20"/>
        </w:rPr>
        <w:t xml:space="preserve">issuing and </w:t>
      </w:r>
      <w:r w:rsidRPr="009E316A">
        <w:rPr>
          <w:rFonts w:ascii="Arial" w:eastAsia="Times New Roman" w:hAnsi="Arial" w:cs="Arial"/>
          <w:sz w:val="20"/>
          <w:szCs w:val="20"/>
        </w:rPr>
        <w:t xml:space="preserve">administering outgoing subawards. </w:t>
      </w:r>
    </w:p>
    <w:p w14:paraId="4B646C34" w14:textId="77777777" w:rsidR="00434F0A" w:rsidRPr="009E316A" w:rsidRDefault="00434F0A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2152789" w14:textId="1DBD7B77" w:rsidR="00F9089D" w:rsidRPr="009E316A" w:rsidRDefault="00F9089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Key administrative activities</w:t>
      </w:r>
      <w:r w:rsidR="00434F0A" w:rsidRPr="009E316A">
        <w:rPr>
          <w:rFonts w:ascii="Arial" w:eastAsia="Times New Roman" w:hAnsi="Arial" w:cs="Arial"/>
          <w:sz w:val="20"/>
          <w:szCs w:val="20"/>
        </w:rPr>
        <w:t xml:space="preserve"> related to subaward management</w:t>
      </w:r>
      <w:r w:rsidRPr="009E316A">
        <w:rPr>
          <w:rFonts w:ascii="Arial" w:eastAsia="Times New Roman" w:hAnsi="Arial" w:cs="Arial"/>
          <w:sz w:val="20"/>
          <w:szCs w:val="20"/>
        </w:rPr>
        <w:t xml:space="preserve"> include:</w:t>
      </w:r>
    </w:p>
    <w:p w14:paraId="2244679E" w14:textId="6619CE92" w:rsidR="00587359" w:rsidRPr="009E316A" w:rsidRDefault="00434F0A" w:rsidP="0004176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Accurate</w:t>
      </w:r>
      <w:r w:rsidR="00587359" w:rsidRPr="009E316A">
        <w:rPr>
          <w:rFonts w:ascii="Arial" w:eastAsia="Times New Roman" w:hAnsi="Arial" w:cs="Arial"/>
          <w:sz w:val="20"/>
          <w:szCs w:val="20"/>
        </w:rPr>
        <w:t xml:space="preserve"> determination of external collaborators as subrecipients or contractors.</w:t>
      </w:r>
    </w:p>
    <w:p w14:paraId="086FD79D" w14:textId="679CE875" w:rsidR="00434F0A" w:rsidRPr="009E316A" w:rsidRDefault="00434F0A" w:rsidP="0004176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Inclusion of subawards </w:t>
      </w:r>
      <w:r w:rsidR="007D155B" w:rsidRPr="009E316A">
        <w:rPr>
          <w:rFonts w:ascii="Arial" w:eastAsia="Times New Roman" w:hAnsi="Arial" w:cs="Arial"/>
          <w:sz w:val="20"/>
          <w:szCs w:val="20"/>
        </w:rPr>
        <w:t>during UD proposal submissions.</w:t>
      </w:r>
    </w:p>
    <w:p w14:paraId="1DF25879" w14:textId="5842742D" w:rsidR="00752109" w:rsidRPr="009E316A" w:rsidRDefault="00752109" w:rsidP="0004176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Assessment of</w:t>
      </w:r>
      <w:r w:rsidR="00F9089D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815AC6" w:rsidRPr="009E316A">
        <w:rPr>
          <w:rFonts w:ascii="Arial" w:eastAsia="Times New Roman" w:hAnsi="Arial" w:cs="Arial"/>
          <w:sz w:val="20"/>
          <w:szCs w:val="20"/>
        </w:rPr>
        <w:t xml:space="preserve">subrecipient </w:t>
      </w:r>
      <w:r w:rsidR="00F9089D" w:rsidRPr="009E316A">
        <w:rPr>
          <w:rFonts w:ascii="Arial" w:eastAsia="Times New Roman" w:hAnsi="Arial" w:cs="Arial"/>
          <w:sz w:val="20"/>
          <w:szCs w:val="20"/>
        </w:rPr>
        <w:t xml:space="preserve">risk </w:t>
      </w:r>
      <w:r w:rsidRPr="009E316A">
        <w:rPr>
          <w:rFonts w:ascii="Arial" w:eastAsia="Times New Roman" w:hAnsi="Arial" w:cs="Arial"/>
          <w:sz w:val="20"/>
          <w:szCs w:val="20"/>
        </w:rPr>
        <w:t>level</w:t>
      </w:r>
      <w:r w:rsidR="00F9089D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5C5003" w:rsidRPr="009E316A">
        <w:rPr>
          <w:rFonts w:ascii="Arial" w:eastAsia="Times New Roman" w:hAnsi="Arial" w:cs="Arial"/>
          <w:sz w:val="20"/>
          <w:szCs w:val="20"/>
        </w:rPr>
        <w:t xml:space="preserve">prior to </w:t>
      </w:r>
      <w:r w:rsidR="00F9089D" w:rsidRPr="009E316A">
        <w:rPr>
          <w:rFonts w:ascii="Arial" w:eastAsia="Times New Roman" w:hAnsi="Arial" w:cs="Arial"/>
          <w:sz w:val="20"/>
          <w:szCs w:val="20"/>
        </w:rPr>
        <w:t>subaward</w:t>
      </w:r>
      <w:r w:rsidR="005C5003" w:rsidRPr="009E316A">
        <w:rPr>
          <w:rFonts w:ascii="Arial" w:eastAsia="Times New Roman" w:hAnsi="Arial" w:cs="Arial"/>
          <w:sz w:val="20"/>
          <w:szCs w:val="20"/>
        </w:rPr>
        <w:t xml:space="preserve"> is</w:t>
      </w:r>
      <w:r w:rsidR="00F9089D" w:rsidRPr="009E316A">
        <w:rPr>
          <w:rFonts w:ascii="Arial" w:eastAsia="Times New Roman" w:hAnsi="Arial" w:cs="Arial"/>
          <w:sz w:val="20"/>
          <w:szCs w:val="20"/>
        </w:rPr>
        <w:t>s</w:t>
      </w:r>
      <w:r w:rsidR="005C5003" w:rsidRPr="009E316A">
        <w:rPr>
          <w:rFonts w:ascii="Arial" w:eastAsia="Times New Roman" w:hAnsi="Arial" w:cs="Arial"/>
          <w:sz w:val="20"/>
          <w:szCs w:val="20"/>
        </w:rPr>
        <w:t>uance</w:t>
      </w:r>
      <w:r w:rsidR="00434F0A" w:rsidRPr="009E316A">
        <w:rPr>
          <w:rFonts w:ascii="Arial" w:eastAsia="Times New Roman" w:hAnsi="Arial" w:cs="Arial"/>
          <w:sz w:val="20"/>
          <w:szCs w:val="20"/>
        </w:rPr>
        <w:t xml:space="preserve"> or modification</w:t>
      </w:r>
      <w:r w:rsidRPr="009E316A">
        <w:rPr>
          <w:rFonts w:ascii="Arial" w:eastAsia="Times New Roman" w:hAnsi="Arial" w:cs="Arial"/>
          <w:sz w:val="20"/>
          <w:szCs w:val="20"/>
        </w:rPr>
        <w:t>.</w:t>
      </w:r>
    </w:p>
    <w:p w14:paraId="609AA45C" w14:textId="520440A9" w:rsidR="00F9089D" w:rsidRPr="009E316A" w:rsidRDefault="00752109" w:rsidP="0004176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Incorporation of applicable monitoring requirements into subaward terms and conditions based on risk level.</w:t>
      </w:r>
    </w:p>
    <w:p w14:paraId="27A04559" w14:textId="61A20EAD" w:rsidR="00F9089D" w:rsidRPr="009E316A" w:rsidRDefault="00F9089D" w:rsidP="0004176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Issuance</w:t>
      </w:r>
      <w:r w:rsidR="003E2100" w:rsidRPr="009E316A">
        <w:rPr>
          <w:rFonts w:ascii="Arial" w:eastAsia="Times New Roman" w:hAnsi="Arial" w:cs="Arial"/>
          <w:sz w:val="20"/>
          <w:szCs w:val="20"/>
        </w:rPr>
        <w:t xml:space="preserve"> or modification</w:t>
      </w:r>
      <w:r w:rsidRPr="009E316A">
        <w:rPr>
          <w:rFonts w:ascii="Arial" w:eastAsia="Times New Roman" w:hAnsi="Arial" w:cs="Arial"/>
          <w:sz w:val="20"/>
          <w:szCs w:val="20"/>
        </w:rPr>
        <w:t xml:space="preserve"> of subaward </w:t>
      </w:r>
      <w:r w:rsidR="003E2100" w:rsidRPr="009E316A">
        <w:rPr>
          <w:rFonts w:ascii="Arial" w:eastAsia="Times New Roman" w:hAnsi="Arial" w:cs="Arial"/>
          <w:sz w:val="20"/>
          <w:szCs w:val="20"/>
        </w:rPr>
        <w:t>agreemen</w:t>
      </w:r>
      <w:r w:rsidR="00574E7E" w:rsidRPr="009E316A">
        <w:rPr>
          <w:rFonts w:ascii="Arial" w:eastAsia="Times New Roman" w:hAnsi="Arial" w:cs="Arial"/>
          <w:sz w:val="20"/>
          <w:szCs w:val="20"/>
        </w:rPr>
        <w:t>ts</w:t>
      </w:r>
      <w:r w:rsidR="00752109" w:rsidRPr="009E316A">
        <w:rPr>
          <w:rFonts w:ascii="Arial" w:eastAsia="Times New Roman" w:hAnsi="Arial" w:cs="Arial"/>
          <w:sz w:val="20"/>
          <w:szCs w:val="20"/>
        </w:rPr>
        <w:t xml:space="preserve"> in coordination with subrecipients.</w:t>
      </w:r>
    </w:p>
    <w:p w14:paraId="2941F307" w14:textId="269F9248" w:rsidR="00F9089D" w:rsidRPr="009E316A" w:rsidRDefault="00F9089D" w:rsidP="0004176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Monitoring of programmatic and financial activities associated with the subaward.</w:t>
      </w:r>
    </w:p>
    <w:p w14:paraId="52BB98F1" w14:textId="6CEC37F9" w:rsidR="00815AC6" w:rsidRPr="009E316A" w:rsidRDefault="00815AC6" w:rsidP="0004176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Termination of a subaward via normal closeout activities or extenuating circumstances.</w:t>
      </w:r>
    </w:p>
    <w:p w14:paraId="3AB1ECA6" w14:textId="77777777" w:rsidR="0081286D" w:rsidRPr="009E316A" w:rsidRDefault="0081286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1AC59D3" w14:textId="001731C2" w:rsidR="0081286D" w:rsidRPr="009E316A" w:rsidRDefault="0081286D" w:rsidP="000417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III. POLICY STANDARDS AND PROCEDURES</w:t>
      </w:r>
    </w:p>
    <w:p w14:paraId="3A560937" w14:textId="77C40C9C" w:rsidR="0081286D" w:rsidRPr="009E316A" w:rsidRDefault="0081286D" w:rsidP="000417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983605B" w14:textId="77777777" w:rsidR="00B41E2D" w:rsidRPr="009E316A" w:rsidRDefault="00B41E2D" w:rsidP="00B41E2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General Considerations</w:t>
      </w:r>
    </w:p>
    <w:p w14:paraId="6B339328" w14:textId="77777777" w:rsidR="00B41E2D" w:rsidRPr="009E316A" w:rsidRDefault="00B41E2D" w:rsidP="00B41E2D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14:paraId="4F9E4594" w14:textId="36ACBFD1" w:rsidR="00B41E2D" w:rsidRPr="009E316A" w:rsidRDefault="005B7306" w:rsidP="00B41E2D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UD</w:t>
      </w:r>
      <w:r w:rsidR="00B41E2D" w:rsidRPr="009E316A">
        <w:rPr>
          <w:rFonts w:ascii="Arial" w:eastAsia="Times New Roman" w:hAnsi="Arial" w:cs="Arial"/>
          <w:sz w:val="20"/>
          <w:szCs w:val="20"/>
        </w:rPr>
        <w:t xml:space="preserve"> may issue an outgoing subaward to a subrecipient to conduct a </w:t>
      </w:r>
      <w:r w:rsidR="00281E49" w:rsidRPr="009E316A">
        <w:rPr>
          <w:rFonts w:ascii="Arial" w:eastAsia="Times New Roman" w:hAnsi="Arial" w:cs="Arial"/>
          <w:sz w:val="20"/>
          <w:szCs w:val="20"/>
        </w:rPr>
        <w:t xml:space="preserve">specified </w:t>
      </w:r>
      <w:r w:rsidR="00B41E2D" w:rsidRPr="009E316A">
        <w:rPr>
          <w:rFonts w:ascii="Arial" w:eastAsia="Times New Roman" w:hAnsi="Arial" w:cs="Arial"/>
          <w:sz w:val="20"/>
          <w:szCs w:val="20"/>
        </w:rPr>
        <w:t xml:space="preserve">portion of the work </w:t>
      </w:r>
      <w:r w:rsidR="00281E49" w:rsidRPr="009E316A">
        <w:rPr>
          <w:rFonts w:ascii="Arial" w:eastAsia="Times New Roman" w:hAnsi="Arial" w:cs="Arial"/>
          <w:sz w:val="20"/>
          <w:szCs w:val="20"/>
        </w:rPr>
        <w:t xml:space="preserve">performed </w:t>
      </w:r>
      <w:r w:rsidR="00B41E2D" w:rsidRPr="009E316A">
        <w:rPr>
          <w:rFonts w:ascii="Arial" w:eastAsia="Times New Roman" w:hAnsi="Arial" w:cs="Arial"/>
          <w:sz w:val="20"/>
          <w:szCs w:val="20"/>
        </w:rPr>
        <w:t>under a sponsored award. As the prime recipient of the sponsored award, UD is obligated to undertake certain stewardship activities to ensure the subrecipient:</w:t>
      </w:r>
    </w:p>
    <w:p w14:paraId="7F4D7DCA" w14:textId="6CC82758" w:rsidR="005D0CCA" w:rsidRPr="009E316A" w:rsidRDefault="005D0CCA" w:rsidP="005D0CCA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Possesses adequate technical expertise and potential ability to successfully perform their scope of work in alignment with the prime sponsored award objectives.</w:t>
      </w:r>
    </w:p>
    <w:p w14:paraId="50570271" w14:textId="3A89B312" w:rsidR="005D0CCA" w:rsidRPr="009E316A" w:rsidRDefault="005D0CCA" w:rsidP="005D0CCA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Proposes an appropriate budget for their </w:t>
      </w:r>
      <w:r w:rsidR="00281E49" w:rsidRPr="009E316A">
        <w:rPr>
          <w:rFonts w:ascii="Arial" w:eastAsia="Times New Roman" w:hAnsi="Arial" w:cs="Arial"/>
          <w:sz w:val="20"/>
          <w:szCs w:val="20"/>
        </w:rPr>
        <w:t xml:space="preserve">applicable </w:t>
      </w:r>
      <w:r w:rsidRPr="009E316A">
        <w:rPr>
          <w:rFonts w:ascii="Arial" w:eastAsia="Times New Roman" w:hAnsi="Arial" w:cs="Arial"/>
          <w:sz w:val="20"/>
          <w:szCs w:val="20"/>
        </w:rPr>
        <w:t>scope of work.</w:t>
      </w:r>
    </w:p>
    <w:p w14:paraId="23A0C323" w14:textId="48289440" w:rsidR="00B41E2D" w:rsidRPr="009E316A" w:rsidRDefault="00B41E2D" w:rsidP="00B41E2D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Manages funds and meet</w:t>
      </w:r>
      <w:r w:rsidR="005D0CCA" w:rsidRPr="009E316A">
        <w:rPr>
          <w:rFonts w:ascii="Arial" w:eastAsia="Times New Roman" w:hAnsi="Arial" w:cs="Arial"/>
          <w:sz w:val="20"/>
          <w:szCs w:val="20"/>
        </w:rPr>
        <w:t>s</w:t>
      </w:r>
      <w:r w:rsidRPr="009E316A">
        <w:rPr>
          <w:rFonts w:ascii="Arial" w:eastAsia="Times New Roman" w:hAnsi="Arial" w:cs="Arial"/>
          <w:sz w:val="20"/>
          <w:szCs w:val="20"/>
        </w:rPr>
        <w:t xml:space="preserve"> performance goals stipulated by the prime </w:t>
      </w:r>
      <w:r w:rsidR="005D0CCA" w:rsidRPr="009E316A">
        <w:rPr>
          <w:rFonts w:ascii="Arial" w:eastAsia="Times New Roman" w:hAnsi="Arial" w:cs="Arial"/>
          <w:sz w:val="20"/>
          <w:szCs w:val="20"/>
        </w:rPr>
        <w:t xml:space="preserve">sponsored </w:t>
      </w:r>
      <w:r w:rsidRPr="009E316A">
        <w:rPr>
          <w:rFonts w:ascii="Arial" w:eastAsia="Times New Roman" w:hAnsi="Arial" w:cs="Arial"/>
          <w:sz w:val="20"/>
          <w:szCs w:val="20"/>
        </w:rPr>
        <w:t>award</w:t>
      </w:r>
      <w:r w:rsidR="007D155B" w:rsidRPr="009E316A">
        <w:rPr>
          <w:rFonts w:ascii="Arial" w:eastAsia="Times New Roman" w:hAnsi="Arial" w:cs="Arial"/>
          <w:sz w:val="20"/>
          <w:szCs w:val="20"/>
        </w:rPr>
        <w:t>.</w:t>
      </w:r>
    </w:p>
    <w:p w14:paraId="6A1CACB5" w14:textId="2AEEFF94" w:rsidR="00B41E2D" w:rsidRPr="009E316A" w:rsidRDefault="00B41E2D" w:rsidP="00B41E2D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lastRenderedPageBreak/>
        <w:t>Complies with governing laws, regulations, and special terms and conditions associated with the prime award</w:t>
      </w:r>
      <w:r w:rsidR="007D155B" w:rsidRPr="009E316A">
        <w:rPr>
          <w:rFonts w:ascii="Arial" w:eastAsia="Times New Roman" w:hAnsi="Arial" w:cs="Arial"/>
          <w:sz w:val="20"/>
          <w:szCs w:val="20"/>
        </w:rPr>
        <w:t>; t</w:t>
      </w:r>
      <w:r w:rsidRPr="009E316A">
        <w:rPr>
          <w:rFonts w:ascii="Arial" w:eastAsia="Times New Roman" w:hAnsi="Arial" w:cs="Arial"/>
          <w:sz w:val="20"/>
          <w:szCs w:val="20"/>
        </w:rPr>
        <w:t>his includes compliance with federal regulations set forth per Uniform Guidance including 2 CFR 200.</w:t>
      </w:r>
      <w:r w:rsidR="00FC72E7" w:rsidRPr="009E316A">
        <w:rPr>
          <w:rFonts w:ascii="Arial" w:eastAsia="Times New Roman" w:hAnsi="Arial" w:cs="Arial"/>
          <w:sz w:val="20"/>
          <w:szCs w:val="20"/>
        </w:rPr>
        <w:t>330</w:t>
      </w:r>
      <w:r w:rsidR="00086B8A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E80C78" w:rsidRPr="009E316A">
        <w:rPr>
          <w:rFonts w:ascii="Arial" w:eastAsia="Times New Roman" w:hAnsi="Arial" w:cs="Arial"/>
          <w:sz w:val="20"/>
          <w:szCs w:val="20"/>
        </w:rPr>
        <w:t>as applicable for federal and federal flow-through awards.</w:t>
      </w:r>
    </w:p>
    <w:p w14:paraId="220F0FEB" w14:textId="77777777" w:rsidR="00AA749A" w:rsidRPr="009E316A" w:rsidRDefault="00AA749A" w:rsidP="00281E4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14:paraId="2DC066D8" w14:textId="6FB74CB3" w:rsidR="00AA749A" w:rsidRPr="009E316A" w:rsidRDefault="00AA749A" w:rsidP="00B84C46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UD </w:t>
      </w:r>
      <w:r w:rsidR="00281E49" w:rsidRPr="009E316A">
        <w:rPr>
          <w:rFonts w:ascii="Arial" w:eastAsia="Times New Roman" w:hAnsi="Arial" w:cs="Arial"/>
          <w:sz w:val="20"/>
          <w:szCs w:val="20"/>
        </w:rPr>
        <w:t>PIs are responsible for initiating the request for UD engagement with a subrecipient. This request typically occurs during proposal submission, but may also occur during the course of the award:</w:t>
      </w:r>
    </w:p>
    <w:p w14:paraId="11E99C1F" w14:textId="7832E83F" w:rsidR="00281E49" w:rsidRPr="009E316A" w:rsidRDefault="00281E49" w:rsidP="00281E49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Upon funding of a proposal, the prime sponsored award issued to UD typically includes specific authorization and an explicit budget for any proposed subawards. </w:t>
      </w:r>
    </w:p>
    <w:p w14:paraId="07C4547B" w14:textId="0FC2BBBE" w:rsidR="00281E49" w:rsidRPr="009E316A" w:rsidRDefault="00281E49" w:rsidP="00281E49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Occasionally, the need for a subaward develops after a sponsored award has already been issued to UD. These instances </w:t>
      </w:r>
      <w:r w:rsidR="00FC72E7" w:rsidRPr="009E316A">
        <w:rPr>
          <w:rFonts w:ascii="Arial" w:eastAsia="Times New Roman" w:hAnsi="Arial" w:cs="Arial"/>
          <w:sz w:val="20"/>
          <w:szCs w:val="20"/>
        </w:rPr>
        <w:t xml:space="preserve">may </w:t>
      </w:r>
      <w:r w:rsidRPr="009E316A">
        <w:rPr>
          <w:rFonts w:ascii="Arial" w:eastAsia="Times New Roman" w:hAnsi="Arial" w:cs="Arial"/>
          <w:sz w:val="20"/>
          <w:szCs w:val="20"/>
        </w:rPr>
        <w:t>require UD to obtain prior written approval from the sponsor to issue a subaward</w:t>
      </w:r>
      <w:r w:rsidR="00086B8A" w:rsidRPr="009E316A">
        <w:rPr>
          <w:rFonts w:ascii="Arial" w:eastAsia="Times New Roman" w:hAnsi="Arial" w:cs="Arial"/>
          <w:sz w:val="20"/>
          <w:szCs w:val="20"/>
        </w:rPr>
        <w:t>; please confirm prior approval requirements with the Research Office</w:t>
      </w:r>
      <w:r w:rsidRPr="009E316A">
        <w:rPr>
          <w:rFonts w:ascii="Arial" w:eastAsia="Times New Roman" w:hAnsi="Arial" w:cs="Arial"/>
          <w:sz w:val="20"/>
          <w:szCs w:val="20"/>
        </w:rPr>
        <w:t>.</w:t>
      </w:r>
    </w:p>
    <w:p w14:paraId="1FD5BC25" w14:textId="77777777" w:rsidR="00B41E2D" w:rsidRPr="009E316A" w:rsidRDefault="00B41E2D" w:rsidP="00B41E2D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14:paraId="3B2D9831" w14:textId="4AF7D604" w:rsidR="00A33CAD" w:rsidRPr="009E316A" w:rsidRDefault="00F9089D" w:rsidP="00041763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Subrecipient v. Contractor Determinatio</w:t>
      </w:r>
      <w:r w:rsidR="00A33CAD" w:rsidRPr="009E316A">
        <w:rPr>
          <w:rFonts w:ascii="Arial" w:eastAsia="Times New Roman" w:hAnsi="Arial" w:cs="Arial"/>
          <w:b/>
          <w:bCs/>
          <w:sz w:val="20"/>
          <w:szCs w:val="20"/>
        </w:rPr>
        <w:t>n</w:t>
      </w:r>
    </w:p>
    <w:p w14:paraId="58385A32" w14:textId="77777777" w:rsidR="00041763" w:rsidRPr="009E316A" w:rsidRDefault="00041763" w:rsidP="0004176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8772C53" w14:textId="66409F9E" w:rsidR="00705215" w:rsidRPr="009E316A" w:rsidRDefault="00AD7A03" w:rsidP="00041763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The appropriate classification of a subaward or other procurement action at the time </w:t>
      </w:r>
      <w:r w:rsidR="00705215" w:rsidRPr="009E316A">
        <w:rPr>
          <w:rFonts w:ascii="Arial" w:eastAsia="Times New Roman" w:hAnsi="Arial" w:cs="Arial"/>
          <w:sz w:val="20"/>
          <w:szCs w:val="20"/>
        </w:rPr>
        <w:t>a sponsored award</w:t>
      </w:r>
      <w:r w:rsidRPr="009E316A">
        <w:rPr>
          <w:rFonts w:ascii="Arial" w:eastAsia="Times New Roman" w:hAnsi="Arial" w:cs="Arial"/>
          <w:sz w:val="20"/>
          <w:szCs w:val="20"/>
        </w:rPr>
        <w:t xml:space="preserve"> is proposed and funded is essential for ensuring</w:t>
      </w:r>
      <w:r w:rsidR="00705215" w:rsidRPr="009E316A">
        <w:rPr>
          <w:rFonts w:ascii="Arial" w:eastAsia="Times New Roman" w:hAnsi="Arial" w:cs="Arial"/>
          <w:sz w:val="20"/>
          <w:szCs w:val="20"/>
        </w:rPr>
        <w:t>:</w:t>
      </w:r>
    </w:p>
    <w:p w14:paraId="5528A831" w14:textId="01FB0CA2" w:rsidR="00705215" w:rsidRPr="009E316A" w:rsidRDefault="00705215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P</w:t>
      </w:r>
      <w:r w:rsidR="00AD7A03" w:rsidRPr="009E316A">
        <w:rPr>
          <w:rFonts w:ascii="Arial" w:eastAsia="Times New Roman" w:hAnsi="Arial" w:cs="Arial"/>
          <w:sz w:val="20"/>
          <w:szCs w:val="20"/>
        </w:rPr>
        <w:t>roper</w:t>
      </w:r>
      <w:r w:rsidRPr="009E316A">
        <w:rPr>
          <w:rFonts w:ascii="Arial" w:eastAsia="Times New Roman" w:hAnsi="Arial" w:cs="Arial"/>
          <w:sz w:val="20"/>
          <w:szCs w:val="20"/>
        </w:rPr>
        <w:t xml:space="preserve"> budgeting and</w:t>
      </w:r>
      <w:r w:rsidR="00AD7A03" w:rsidRPr="009E316A">
        <w:rPr>
          <w:rFonts w:ascii="Arial" w:eastAsia="Times New Roman" w:hAnsi="Arial" w:cs="Arial"/>
          <w:sz w:val="20"/>
          <w:szCs w:val="20"/>
        </w:rPr>
        <w:t xml:space="preserve"> accounting for </w:t>
      </w:r>
      <w:r w:rsidRPr="009E316A">
        <w:rPr>
          <w:rFonts w:ascii="Arial" w:eastAsia="Times New Roman" w:hAnsi="Arial" w:cs="Arial"/>
          <w:sz w:val="20"/>
          <w:szCs w:val="20"/>
        </w:rPr>
        <w:t xml:space="preserve">related </w:t>
      </w:r>
      <w:r w:rsidR="00AD7A03" w:rsidRPr="009E316A">
        <w:rPr>
          <w:rFonts w:ascii="Arial" w:eastAsia="Times New Roman" w:hAnsi="Arial" w:cs="Arial"/>
          <w:sz w:val="20"/>
          <w:szCs w:val="20"/>
        </w:rPr>
        <w:t>costs</w:t>
      </w:r>
      <w:r w:rsidR="00281E49" w:rsidRPr="009E316A">
        <w:rPr>
          <w:rFonts w:ascii="Arial" w:eastAsia="Times New Roman" w:hAnsi="Arial" w:cs="Arial"/>
          <w:sz w:val="20"/>
          <w:szCs w:val="20"/>
        </w:rPr>
        <w:t>.</w:t>
      </w:r>
    </w:p>
    <w:p w14:paraId="5E61A9FA" w14:textId="54BC6E98" w:rsidR="00A33CAD" w:rsidRPr="009E316A" w:rsidRDefault="00705215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A</w:t>
      </w:r>
      <w:r w:rsidR="00AD7A03" w:rsidRPr="009E316A">
        <w:rPr>
          <w:rFonts w:ascii="Arial" w:eastAsia="Times New Roman" w:hAnsi="Arial" w:cs="Arial"/>
          <w:sz w:val="20"/>
          <w:szCs w:val="20"/>
        </w:rPr>
        <w:t>dherence to applicable compliance requirements</w:t>
      </w:r>
      <w:r w:rsidRPr="009E316A">
        <w:rPr>
          <w:rFonts w:ascii="Arial" w:eastAsia="Times New Roman" w:hAnsi="Arial" w:cs="Arial"/>
          <w:sz w:val="20"/>
          <w:szCs w:val="20"/>
        </w:rPr>
        <w:t xml:space="preserve"> for subrecipients v</w:t>
      </w:r>
      <w:r w:rsidR="00380B4E" w:rsidRPr="009E316A">
        <w:rPr>
          <w:rFonts w:ascii="Arial" w:eastAsia="Times New Roman" w:hAnsi="Arial" w:cs="Arial"/>
          <w:sz w:val="20"/>
          <w:szCs w:val="20"/>
        </w:rPr>
        <w:t>ersus</w:t>
      </w:r>
      <w:r w:rsidRPr="009E316A">
        <w:rPr>
          <w:rFonts w:ascii="Arial" w:eastAsia="Times New Roman" w:hAnsi="Arial" w:cs="Arial"/>
          <w:sz w:val="20"/>
          <w:szCs w:val="20"/>
        </w:rPr>
        <w:t xml:space="preserve"> contractors.</w:t>
      </w:r>
    </w:p>
    <w:p w14:paraId="7DEEFA7A" w14:textId="77777777" w:rsidR="00041763" w:rsidRPr="009E316A" w:rsidRDefault="00041763" w:rsidP="0004176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522FAD5" w14:textId="74866D25" w:rsidR="00CB00BE" w:rsidRPr="009E316A" w:rsidRDefault="00A33CAD" w:rsidP="00041763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UD utilizes a</w:t>
      </w:r>
      <w:r w:rsidR="00380B4E" w:rsidRPr="009E316A">
        <w:rPr>
          <w:rFonts w:ascii="Arial" w:eastAsia="Times New Roman" w:hAnsi="Arial" w:cs="Arial"/>
          <w:sz w:val="20"/>
          <w:szCs w:val="20"/>
        </w:rPr>
        <w:t xml:space="preserve"> standard</w:t>
      </w:r>
      <w:r w:rsidR="00CB00BE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380B4E" w:rsidRPr="009E316A">
        <w:rPr>
          <w:rFonts w:ascii="Arial" w:eastAsia="Times New Roman" w:hAnsi="Arial" w:cs="Arial"/>
          <w:sz w:val="20"/>
          <w:szCs w:val="20"/>
        </w:rPr>
        <w:t>“</w:t>
      </w:r>
      <w:r w:rsidRPr="009E316A">
        <w:rPr>
          <w:rFonts w:ascii="Arial" w:eastAsia="Times New Roman" w:hAnsi="Arial" w:cs="Arial"/>
          <w:sz w:val="20"/>
          <w:szCs w:val="20"/>
        </w:rPr>
        <w:t>Provider Category Determination Worksheet</w:t>
      </w:r>
      <w:r w:rsidR="00380B4E" w:rsidRPr="009E316A">
        <w:rPr>
          <w:rFonts w:ascii="Arial" w:eastAsia="Times New Roman" w:hAnsi="Arial" w:cs="Arial"/>
          <w:sz w:val="20"/>
          <w:szCs w:val="20"/>
        </w:rPr>
        <w:t>”</w:t>
      </w:r>
      <w:r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FC72E7" w:rsidRPr="009E316A">
        <w:rPr>
          <w:rFonts w:ascii="Arial" w:eastAsia="Times New Roman" w:hAnsi="Arial" w:cs="Arial"/>
          <w:sz w:val="20"/>
          <w:szCs w:val="20"/>
        </w:rPr>
        <w:t xml:space="preserve">(PCDW) </w:t>
      </w:r>
      <w:r w:rsidRPr="009E316A">
        <w:rPr>
          <w:rFonts w:ascii="Arial" w:eastAsia="Times New Roman" w:hAnsi="Arial" w:cs="Arial"/>
          <w:sz w:val="20"/>
          <w:szCs w:val="20"/>
        </w:rPr>
        <w:t xml:space="preserve">to </w:t>
      </w:r>
      <w:r w:rsidR="00CB00BE" w:rsidRPr="009E316A">
        <w:rPr>
          <w:rFonts w:ascii="Arial" w:eastAsia="Times New Roman" w:hAnsi="Arial" w:cs="Arial"/>
          <w:sz w:val="20"/>
          <w:szCs w:val="20"/>
        </w:rPr>
        <w:t>correctly classify</w:t>
      </w:r>
      <w:r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DE575C" w:rsidRPr="009E316A">
        <w:rPr>
          <w:rFonts w:ascii="Arial" w:eastAsia="Times New Roman" w:hAnsi="Arial" w:cs="Arial"/>
          <w:sz w:val="20"/>
          <w:szCs w:val="20"/>
        </w:rPr>
        <w:t>UD’s substantive relationship with an</w:t>
      </w:r>
      <w:r w:rsidRPr="009E316A">
        <w:rPr>
          <w:rFonts w:ascii="Arial" w:eastAsia="Times New Roman" w:hAnsi="Arial" w:cs="Arial"/>
          <w:sz w:val="20"/>
          <w:szCs w:val="20"/>
        </w:rPr>
        <w:t xml:space="preserve"> external collaborator as</w:t>
      </w:r>
      <w:r w:rsidR="00DE575C" w:rsidRPr="009E316A">
        <w:rPr>
          <w:rFonts w:ascii="Arial" w:eastAsia="Times New Roman" w:hAnsi="Arial" w:cs="Arial"/>
          <w:sz w:val="20"/>
          <w:szCs w:val="20"/>
        </w:rPr>
        <w:t xml:space="preserve"> that of</w:t>
      </w:r>
      <w:r w:rsidRPr="009E316A">
        <w:rPr>
          <w:rFonts w:ascii="Arial" w:eastAsia="Times New Roman" w:hAnsi="Arial" w:cs="Arial"/>
          <w:sz w:val="20"/>
          <w:szCs w:val="20"/>
        </w:rPr>
        <w:t xml:space="preserve"> a subrecipient or contractor</w:t>
      </w:r>
      <w:r w:rsidR="000F2BD2" w:rsidRPr="009E316A">
        <w:rPr>
          <w:rFonts w:ascii="Arial" w:eastAsia="Times New Roman" w:hAnsi="Arial" w:cs="Arial"/>
          <w:sz w:val="20"/>
          <w:szCs w:val="20"/>
        </w:rPr>
        <w:t>.</w:t>
      </w:r>
    </w:p>
    <w:p w14:paraId="6E1AA72B" w14:textId="77777777" w:rsidR="00041763" w:rsidRPr="009E316A" w:rsidRDefault="00041763" w:rsidP="0004176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BC1AC90" w14:textId="0BA53EFE" w:rsidR="00A33CAD" w:rsidRPr="009E316A" w:rsidRDefault="00A33CAD" w:rsidP="00041763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Key considerations</w:t>
      </w:r>
      <w:r w:rsidR="00CB00BE" w:rsidRPr="009E316A">
        <w:rPr>
          <w:rFonts w:ascii="Arial" w:eastAsia="Times New Roman" w:hAnsi="Arial" w:cs="Arial"/>
          <w:sz w:val="20"/>
          <w:szCs w:val="20"/>
        </w:rPr>
        <w:t xml:space="preserve"> utilized</w:t>
      </w:r>
      <w:r w:rsidRPr="009E316A">
        <w:rPr>
          <w:rFonts w:ascii="Arial" w:eastAsia="Times New Roman" w:hAnsi="Arial" w:cs="Arial"/>
          <w:sz w:val="20"/>
          <w:szCs w:val="20"/>
        </w:rPr>
        <w:t xml:space="preserve"> for</w:t>
      </w:r>
      <w:r w:rsidR="00CB00BE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B607BA" w:rsidRPr="009E316A">
        <w:rPr>
          <w:rFonts w:ascii="Arial" w:eastAsia="Times New Roman" w:hAnsi="Arial" w:cs="Arial"/>
          <w:sz w:val="20"/>
          <w:szCs w:val="20"/>
        </w:rPr>
        <w:t xml:space="preserve">subrecipient versus contractor </w:t>
      </w:r>
      <w:r w:rsidRPr="009E316A">
        <w:rPr>
          <w:rFonts w:ascii="Arial" w:eastAsia="Times New Roman" w:hAnsi="Arial" w:cs="Arial"/>
          <w:sz w:val="20"/>
          <w:szCs w:val="20"/>
        </w:rPr>
        <w:t>determination are outlined below: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681"/>
        <w:gridCol w:w="4669"/>
      </w:tblGrid>
      <w:tr w:rsidR="00A33CAD" w:rsidRPr="0019192A" w14:paraId="0859FC78" w14:textId="77777777" w:rsidTr="00857A74">
        <w:tc>
          <w:tcPr>
            <w:tcW w:w="4681" w:type="dxa"/>
            <w:shd w:val="clear" w:color="auto" w:fill="0070C0"/>
          </w:tcPr>
          <w:p w14:paraId="5AA9375B" w14:textId="4FB22FD0" w:rsidR="00A33CAD" w:rsidRPr="0019192A" w:rsidRDefault="00A33CAD" w:rsidP="00041763">
            <w:pPr>
              <w:pStyle w:val="ListParagraph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Subrecipient Characteristics:</w:t>
            </w:r>
          </w:p>
        </w:tc>
        <w:tc>
          <w:tcPr>
            <w:tcW w:w="4669" w:type="dxa"/>
            <w:shd w:val="clear" w:color="auto" w:fill="0070C0"/>
          </w:tcPr>
          <w:p w14:paraId="28BD7C65" w14:textId="08232567" w:rsidR="00A33CAD" w:rsidRPr="0019192A" w:rsidRDefault="00A33CAD" w:rsidP="00041763">
            <w:pPr>
              <w:pStyle w:val="ListParagraph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Contractor Characteristics:</w:t>
            </w:r>
          </w:p>
        </w:tc>
      </w:tr>
      <w:tr w:rsidR="009E316A" w:rsidRPr="009E316A" w14:paraId="2BB3359D" w14:textId="77777777" w:rsidTr="00857A74">
        <w:tc>
          <w:tcPr>
            <w:tcW w:w="4681" w:type="dxa"/>
          </w:tcPr>
          <w:p w14:paraId="43F43EA8" w14:textId="05E165C2" w:rsidR="00A33CAD" w:rsidRPr="009E316A" w:rsidRDefault="00A33CAD" w:rsidP="0004176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sz w:val="20"/>
                <w:szCs w:val="20"/>
              </w:rPr>
              <w:t>Performs substantive programmatic work</w:t>
            </w:r>
            <w:r w:rsidR="00857A74" w:rsidRPr="009E316A">
              <w:rPr>
                <w:rFonts w:ascii="Arial" w:eastAsia="Times New Roman" w:hAnsi="Arial" w:cs="Arial"/>
                <w:sz w:val="20"/>
                <w:szCs w:val="20"/>
              </w:rPr>
              <w:t xml:space="preserve"> related to the sponsored award</w:t>
            </w:r>
          </w:p>
          <w:p w14:paraId="34AF6102" w14:textId="58826E21" w:rsidR="00A33CAD" w:rsidRPr="009E316A" w:rsidRDefault="00A33CAD" w:rsidP="0004176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sz w:val="20"/>
                <w:szCs w:val="20"/>
              </w:rPr>
              <w:t>Bears responsibility for programmatic decision making</w:t>
            </w:r>
          </w:p>
          <w:p w14:paraId="77F66175" w14:textId="71E2027C" w:rsidR="00A33CAD" w:rsidRPr="009E316A" w:rsidRDefault="00A33CAD" w:rsidP="0004176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sz w:val="20"/>
                <w:szCs w:val="20"/>
              </w:rPr>
              <w:t>Is accountable for measurable performance requirements</w:t>
            </w:r>
          </w:p>
          <w:p w14:paraId="7F374FE5" w14:textId="7F12B382" w:rsidR="00857A74" w:rsidRPr="009E316A" w:rsidRDefault="00A33CAD" w:rsidP="0004176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sz w:val="20"/>
                <w:szCs w:val="20"/>
              </w:rPr>
              <w:t xml:space="preserve">Must adhere to compliance requirements </w:t>
            </w:r>
            <w:r w:rsidR="00A57C96" w:rsidRPr="009E316A">
              <w:rPr>
                <w:rFonts w:ascii="Arial" w:eastAsia="Times New Roman" w:hAnsi="Arial" w:cs="Arial"/>
                <w:sz w:val="20"/>
                <w:szCs w:val="20"/>
              </w:rPr>
              <w:t>specified by the sponsored award</w:t>
            </w:r>
          </w:p>
        </w:tc>
        <w:tc>
          <w:tcPr>
            <w:tcW w:w="4669" w:type="dxa"/>
          </w:tcPr>
          <w:p w14:paraId="2DF42DA4" w14:textId="7205CF88" w:rsidR="00857A74" w:rsidRPr="009E316A" w:rsidRDefault="00857A74" w:rsidP="0004176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sz w:val="20"/>
                <w:szCs w:val="20"/>
              </w:rPr>
              <w:t xml:space="preserve">Provides goods or services which are ancillary to </w:t>
            </w:r>
            <w:r w:rsidR="00A57C96" w:rsidRPr="009E316A">
              <w:rPr>
                <w:rFonts w:ascii="Arial" w:eastAsia="Times New Roman" w:hAnsi="Arial" w:cs="Arial"/>
                <w:sz w:val="20"/>
                <w:szCs w:val="20"/>
              </w:rPr>
              <w:t>the sponsored award</w:t>
            </w:r>
            <w:r w:rsidRPr="009E316A">
              <w:rPr>
                <w:rFonts w:ascii="Arial" w:eastAsia="Times New Roman" w:hAnsi="Arial" w:cs="Arial"/>
                <w:sz w:val="20"/>
                <w:szCs w:val="20"/>
              </w:rPr>
              <w:t xml:space="preserve"> operations</w:t>
            </w:r>
          </w:p>
          <w:p w14:paraId="0F238C5C" w14:textId="347F2215" w:rsidR="00857A74" w:rsidRPr="009E316A" w:rsidRDefault="00A57C96" w:rsidP="0004176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sz w:val="20"/>
                <w:szCs w:val="20"/>
              </w:rPr>
              <w:t>Normally o</w:t>
            </w:r>
            <w:r w:rsidR="00857A74" w:rsidRPr="009E316A">
              <w:rPr>
                <w:rFonts w:ascii="Arial" w:eastAsia="Times New Roman" w:hAnsi="Arial" w:cs="Arial"/>
                <w:sz w:val="20"/>
                <w:szCs w:val="20"/>
              </w:rPr>
              <w:t>perates</w:t>
            </w:r>
            <w:r w:rsidRPr="009E31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7A74" w:rsidRPr="009E316A">
              <w:rPr>
                <w:rFonts w:ascii="Arial" w:eastAsia="Times New Roman" w:hAnsi="Arial" w:cs="Arial"/>
                <w:sz w:val="20"/>
                <w:szCs w:val="20"/>
              </w:rPr>
              <w:t xml:space="preserve">in a competitive environment </w:t>
            </w:r>
          </w:p>
          <w:p w14:paraId="51DE989E" w14:textId="35621745" w:rsidR="00857A74" w:rsidRPr="009E316A" w:rsidRDefault="00857A74" w:rsidP="0004176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sz w:val="20"/>
                <w:szCs w:val="20"/>
              </w:rPr>
              <w:t xml:space="preserve">Provides similar goods or services to many different purchasers </w:t>
            </w:r>
          </w:p>
          <w:p w14:paraId="08010F43" w14:textId="385E5C2A" w:rsidR="00A57C96" w:rsidRPr="009E316A" w:rsidRDefault="00A57C96" w:rsidP="00041763">
            <w:pPr>
              <w:pStyle w:val="ListParagraph"/>
              <w:numPr>
                <w:ilvl w:val="0"/>
                <w:numId w:val="23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sz w:val="20"/>
                <w:szCs w:val="20"/>
              </w:rPr>
              <w:t>Is not subject to compliance requirements of the sponsored award</w:t>
            </w:r>
          </w:p>
        </w:tc>
      </w:tr>
      <w:tr w:rsidR="009E316A" w:rsidRPr="009E316A" w14:paraId="3EB5F7AE" w14:textId="77777777" w:rsidTr="008441C1">
        <w:tc>
          <w:tcPr>
            <w:tcW w:w="9350" w:type="dxa"/>
            <w:gridSpan w:val="2"/>
            <w:shd w:val="clear" w:color="auto" w:fill="ABDBFF"/>
          </w:tcPr>
          <w:p w14:paraId="032F0A97" w14:textId="5F1DD0A0" w:rsidR="00857A74" w:rsidRPr="009E316A" w:rsidRDefault="00857A74" w:rsidP="00041763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Use of Judgement:</w:t>
            </w:r>
            <w:r w:rsidRPr="009E316A">
              <w:rPr>
                <w:rFonts w:ascii="Arial" w:eastAsia="Times New Roman" w:hAnsi="Arial" w:cs="Arial"/>
                <w:sz w:val="20"/>
                <w:szCs w:val="20"/>
              </w:rPr>
              <w:t xml:space="preserve"> All characteristics listed above may not be present in all cases. UD will use its judgment in correctly classifying the relationship between UD and an external entity.</w:t>
            </w:r>
          </w:p>
        </w:tc>
      </w:tr>
    </w:tbl>
    <w:p w14:paraId="6635F718" w14:textId="77777777" w:rsidR="00041763" w:rsidRPr="009E316A" w:rsidRDefault="00041763" w:rsidP="0004176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9E9D78D" w14:textId="504E483C" w:rsidR="00F9089D" w:rsidRPr="009E316A" w:rsidRDefault="005C5003" w:rsidP="00041763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In determining whether an agreement between UD and an external entity casts the latter as a subrecipient or a contractor, the substance of the relationship is more important than the form of the agreement</w:t>
      </w:r>
      <w:r w:rsidR="000F2BD2" w:rsidRPr="009E316A">
        <w:rPr>
          <w:rFonts w:ascii="Arial" w:eastAsia="Times New Roman" w:hAnsi="Arial" w:cs="Arial"/>
          <w:sz w:val="20"/>
          <w:szCs w:val="20"/>
        </w:rPr>
        <w:t xml:space="preserve">. </w:t>
      </w:r>
      <w:r w:rsidRPr="009E316A">
        <w:rPr>
          <w:rFonts w:ascii="Arial" w:eastAsia="Times New Roman" w:hAnsi="Arial" w:cs="Arial"/>
          <w:sz w:val="20"/>
          <w:szCs w:val="20"/>
        </w:rPr>
        <w:t>As such, UD must use judgment in classifying each agreement as a subaward or a procurement contract, as certain characteristics outlined above may not be present in all cases.</w:t>
      </w:r>
    </w:p>
    <w:p w14:paraId="373E0BC1" w14:textId="77777777" w:rsidR="00AD7A03" w:rsidRPr="009E316A" w:rsidRDefault="00AD7A03" w:rsidP="00041763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AFC2019" w14:textId="7C3EE435" w:rsidR="000F2BD2" w:rsidRPr="009E316A" w:rsidRDefault="000F2BD2" w:rsidP="00041763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Subaward Issuance</w:t>
      </w:r>
      <w:r w:rsidR="00310848"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 and Modifications</w:t>
      </w:r>
    </w:p>
    <w:p w14:paraId="7A87080C" w14:textId="77777777" w:rsidR="00041763" w:rsidRPr="009E316A" w:rsidRDefault="00041763" w:rsidP="0004176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6E4C8F8" w14:textId="1F9078C1" w:rsidR="000F2BD2" w:rsidRPr="009E316A" w:rsidRDefault="000F2BD2" w:rsidP="00041763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T</w:t>
      </w:r>
      <w:r w:rsidR="00AD7A03" w:rsidRPr="009E316A">
        <w:rPr>
          <w:rFonts w:ascii="Arial" w:eastAsia="Times New Roman" w:hAnsi="Arial" w:cs="Arial"/>
          <w:sz w:val="20"/>
          <w:szCs w:val="20"/>
        </w:rPr>
        <w:t xml:space="preserve">he Research Office prepares, issues and administers subawards jointly with </w:t>
      </w:r>
      <w:r w:rsidR="00B607BA" w:rsidRPr="009E316A">
        <w:rPr>
          <w:rFonts w:ascii="Arial" w:eastAsia="Times New Roman" w:hAnsi="Arial" w:cs="Arial"/>
          <w:sz w:val="20"/>
          <w:szCs w:val="20"/>
        </w:rPr>
        <w:t>the UD</w:t>
      </w:r>
      <w:r w:rsidR="00AD7A03" w:rsidRPr="009E316A">
        <w:rPr>
          <w:rFonts w:ascii="Arial" w:eastAsia="Times New Roman" w:hAnsi="Arial" w:cs="Arial"/>
          <w:sz w:val="20"/>
          <w:szCs w:val="20"/>
        </w:rPr>
        <w:t xml:space="preserve"> PI and his/her unit administration</w:t>
      </w:r>
      <w:r w:rsidRPr="009E316A">
        <w:rPr>
          <w:rFonts w:ascii="Arial" w:eastAsia="Times New Roman" w:hAnsi="Arial" w:cs="Arial"/>
          <w:sz w:val="20"/>
          <w:szCs w:val="20"/>
        </w:rPr>
        <w:t xml:space="preserve"> to ensure subrecipient compliance with the prime sponsored award.</w:t>
      </w:r>
    </w:p>
    <w:p w14:paraId="7FA09F81" w14:textId="77777777" w:rsidR="00041763" w:rsidRPr="009E316A" w:rsidRDefault="00041763" w:rsidP="0004176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2667D65" w14:textId="608EC3CC" w:rsidR="00A26B70" w:rsidRPr="009E316A" w:rsidRDefault="00A26B70" w:rsidP="00041763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Subawards may only be issued, modified and executed on behalf of the University by an </w:t>
      </w:r>
      <w:r w:rsidR="00FC72E7" w:rsidRPr="009E316A">
        <w:rPr>
          <w:rFonts w:ascii="Arial" w:eastAsia="Times New Roman" w:hAnsi="Arial" w:cs="Arial"/>
          <w:sz w:val="20"/>
          <w:szCs w:val="20"/>
        </w:rPr>
        <w:t xml:space="preserve">authorized institutional official </w:t>
      </w:r>
      <w:r w:rsidRPr="009E316A">
        <w:rPr>
          <w:rFonts w:ascii="Arial" w:eastAsia="Times New Roman" w:hAnsi="Arial" w:cs="Arial"/>
          <w:sz w:val="20"/>
          <w:szCs w:val="20"/>
        </w:rPr>
        <w:t>with delegated signature authority.</w:t>
      </w:r>
    </w:p>
    <w:p w14:paraId="2A6974AA" w14:textId="3F31C7EE" w:rsidR="007B5A13" w:rsidRPr="009E316A" w:rsidRDefault="00A26B70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A UD PI or other unauthorized individual may not approve a subrecipient to begin working without a </w:t>
      </w:r>
      <w:proofErr w:type="gramStart"/>
      <w:r w:rsidRPr="009E316A">
        <w:rPr>
          <w:rFonts w:ascii="Arial" w:eastAsia="Times New Roman" w:hAnsi="Arial" w:cs="Arial"/>
          <w:sz w:val="20"/>
          <w:szCs w:val="20"/>
        </w:rPr>
        <w:t>fully-executed</w:t>
      </w:r>
      <w:proofErr w:type="gramEnd"/>
      <w:r w:rsidRPr="009E316A">
        <w:rPr>
          <w:rFonts w:ascii="Arial" w:eastAsia="Times New Roman" w:hAnsi="Arial" w:cs="Arial"/>
          <w:sz w:val="20"/>
          <w:szCs w:val="20"/>
        </w:rPr>
        <w:t xml:space="preserve"> subaward from UD.</w:t>
      </w:r>
      <w:r w:rsidR="007B5A13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E80C78" w:rsidRPr="009E316A">
        <w:rPr>
          <w:rFonts w:ascii="Arial" w:eastAsia="Times New Roman" w:hAnsi="Arial" w:cs="Arial"/>
          <w:sz w:val="20"/>
          <w:szCs w:val="20"/>
        </w:rPr>
        <w:t>Subrecipients</w:t>
      </w:r>
      <w:r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E80C78" w:rsidRPr="009E316A">
        <w:rPr>
          <w:rFonts w:ascii="Arial" w:eastAsia="Times New Roman" w:hAnsi="Arial" w:cs="Arial"/>
          <w:sz w:val="20"/>
          <w:szCs w:val="20"/>
        </w:rPr>
        <w:t xml:space="preserve">that </w:t>
      </w:r>
      <w:r w:rsidR="00AA749A" w:rsidRPr="009E316A">
        <w:rPr>
          <w:rFonts w:ascii="Arial" w:eastAsia="Times New Roman" w:hAnsi="Arial" w:cs="Arial"/>
          <w:sz w:val="20"/>
          <w:szCs w:val="20"/>
        </w:rPr>
        <w:t>prematurely</w:t>
      </w:r>
      <w:r w:rsidRPr="009E316A">
        <w:rPr>
          <w:rFonts w:ascii="Arial" w:eastAsia="Times New Roman" w:hAnsi="Arial" w:cs="Arial"/>
          <w:sz w:val="20"/>
          <w:szCs w:val="20"/>
        </w:rPr>
        <w:t xml:space="preserve"> commence work do so at their own </w:t>
      </w:r>
      <w:proofErr w:type="gramStart"/>
      <w:r w:rsidRPr="009E316A">
        <w:rPr>
          <w:rFonts w:ascii="Arial" w:eastAsia="Times New Roman" w:hAnsi="Arial" w:cs="Arial"/>
          <w:sz w:val="20"/>
          <w:szCs w:val="20"/>
        </w:rPr>
        <w:t>risk, and</w:t>
      </w:r>
      <w:proofErr w:type="gramEnd"/>
      <w:r w:rsidRPr="009E316A">
        <w:rPr>
          <w:rFonts w:ascii="Arial" w:eastAsia="Times New Roman" w:hAnsi="Arial" w:cs="Arial"/>
          <w:sz w:val="20"/>
          <w:szCs w:val="20"/>
        </w:rPr>
        <w:t xml:space="preserve"> have no assurance of payment from UD.</w:t>
      </w:r>
    </w:p>
    <w:p w14:paraId="3F61E2A7" w14:textId="73CFCE40" w:rsidR="007B5A13" w:rsidRPr="009E316A" w:rsidRDefault="007B5A13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UD is a member of the Federal Demonstration Partnership (FDP) and </w:t>
      </w:r>
      <w:r w:rsidR="00E80C78" w:rsidRPr="009E316A">
        <w:rPr>
          <w:rFonts w:ascii="Arial" w:eastAsia="Times New Roman" w:hAnsi="Arial" w:cs="Arial"/>
          <w:sz w:val="20"/>
          <w:szCs w:val="20"/>
        </w:rPr>
        <w:t>requires utilization of standard FDP templates to expedite subaward execution when possible.</w:t>
      </w:r>
    </w:p>
    <w:p w14:paraId="245A1FEA" w14:textId="06285075" w:rsidR="007B5A13" w:rsidRPr="009E316A" w:rsidRDefault="007B5A13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Subaward modifications are executed</w:t>
      </w:r>
      <w:r w:rsidR="006574A3" w:rsidRPr="009E316A">
        <w:rPr>
          <w:rFonts w:ascii="Arial" w:eastAsia="Times New Roman" w:hAnsi="Arial" w:cs="Arial"/>
          <w:sz w:val="20"/>
          <w:szCs w:val="20"/>
        </w:rPr>
        <w:t xml:space="preserve"> by UD</w:t>
      </w:r>
      <w:r w:rsidRPr="009E316A">
        <w:rPr>
          <w:rFonts w:ascii="Arial" w:eastAsia="Times New Roman" w:hAnsi="Arial" w:cs="Arial"/>
          <w:sz w:val="20"/>
          <w:szCs w:val="20"/>
        </w:rPr>
        <w:t xml:space="preserve"> in accordance with any modifications to the prime sponsored award (</w:t>
      </w:r>
      <w:proofErr w:type="gramStart"/>
      <w:r w:rsidRPr="009E316A">
        <w:rPr>
          <w:rFonts w:ascii="Arial" w:eastAsia="Times New Roman" w:hAnsi="Arial" w:cs="Arial"/>
          <w:sz w:val="20"/>
          <w:szCs w:val="20"/>
        </w:rPr>
        <w:t>e.g.</w:t>
      </w:r>
      <w:proofErr w:type="gramEnd"/>
      <w:r w:rsidRPr="009E316A">
        <w:rPr>
          <w:rFonts w:ascii="Arial" w:eastAsia="Times New Roman" w:hAnsi="Arial" w:cs="Arial"/>
          <w:sz w:val="20"/>
          <w:szCs w:val="20"/>
        </w:rPr>
        <w:t xml:space="preserve"> incremental funding or renewal), or as a result of actions required due to subrecipient monitoring (e.g. changes to </w:t>
      </w:r>
      <w:r w:rsidR="00BA3D8F" w:rsidRPr="009E316A">
        <w:rPr>
          <w:rFonts w:ascii="Arial" w:eastAsia="Times New Roman" w:hAnsi="Arial" w:cs="Arial"/>
          <w:sz w:val="20"/>
          <w:szCs w:val="20"/>
        </w:rPr>
        <w:t xml:space="preserve">a </w:t>
      </w:r>
      <w:r w:rsidRPr="009E316A">
        <w:rPr>
          <w:rFonts w:ascii="Arial" w:eastAsia="Times New Roman" w:hAnsi="Arial" w:cs="Arial"/>
          <w:sz w:val="20"/>
          <w:szCs w:val="20"/>
        </w:rPr>
        <w:t>subaward’s terms and conditions).</w:t>
      </w:r>
      <w:r w:rsidR="00AA2169" w:rsidRPr="009E316A">
        <w:rPr>
          <w:rFonts w:ascii="Arial" w:eastAsia="Times New Roman" w:hAnsi="Arial" w:cs="Arial"/>
          <w:sz w:val="20"/>
          <w:szCs w:val="20"/>
        </w:rPr>
        <w:t xml:space="preserve"> Subaward modifications are </w:t>
      </w:r>
      <w:r w:rsidR="00E80C78" w:rsidRPr="009E316A">
        <w:rPr>
          <w:rFonts w:ascii="Arial" w:eastAsia="Times New Roman" w:hAnsi="Arial" w:cs="Arial"/>
          <w:sz w:val="20"/>
          <w:szCs w:val="20"/>
        </w:rPr>
        <w:t xml:space="preserve">normally </w:t>
      </w:r>
      <w:r w:rsidR="00AA2169" w:rsidRPr="009E316A">
        <w:rPr>
          <w:rFonts w:ascii="Arial" w:eastAsia="Times New Roman" w:hAnsi="Arial" w:cs="Arial"/>
          <w:sz w:val="20"/>
          <w:szCs w:val="20"/>
        </w:rPr>
        <w:t xml:space="preserve">issued </w:t>
      </w:r>
      <w:r w:rsidR="00ED2E59" w:rsidRPr="009E316A">
        <w:rPr>
          <w:rFonts w:ascii="Arial" w:eastAsia="Times New Roman" w:hAnsi="Arial" w:cs="Arial"/>
          <w:sz w:val="20"/>
          <w:szCs w:val="20"/>
        </w:rPr>
        <w:t>annually</w:t>
      </w:r>
      <w:r w:rsidR="00AA2169" w:rsidRPr="009E316A">
        <w:rPr>
          <w:rFonts w:ascii="Arial" w:eastAsia="Times New Roman" w:hAnsi="Arial" w:cs="Arial"/>
          <w:sz w:val="20"/>
          <w:szCs w:val="20"/>
        </w:rPr>
        <w:t xml:space="preserve"> to coincide with routine monitoring activities.</w:t>
      </w:r>
    </w:p>
    <w:p w14:paraId="2F92A2FD" w14:textId="77777777" w:rsidR="00041763" w:rsidRPr="009E316A" w:rsidRDefault="00041763" w:rsidP="0004176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1DBF3BC" w14:textId="2AEF2D7B" w:rsidR="00A26B70" w:rsidRPr="009E316A" w:rsidRDefault="00A26B70" w:rsidP="00041763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Components below must be completed prior to </w:t>
      </w:r>
      <w:r w:rsidR="00BA3D8F" w:rsidRPr="009E316A">
        <w:rPr>
          <w:rFonts w:ascii="Arial" w:eastAsia="Times New Roman" w:hAnsi="Arial" w:cs="Arial"/>
          <w:sz w:val="20"/>
          <w:szCs w:val="20"/>
        </w:rPr>
        <w:t xml:space="preserve">UD issuance or modification of a </w:t>
      </w:r>
      <w:r w:rsidRPr="009E316A">
        <w:rPr>
          <w:rFonts w:ascii="Arial" w:eastAsia="Times New Roman" w:hAnsi="Arial" w:cs="Arial"/>
          <w:sz w:val="20"/>
          <w:szCs w:val="20"/>
        </w:rPr>
        <w:t>subaward:</w:t>
      </w:r>
    </w:p>
    <w:p w14:paraId="0E224A4B" w14:textId="5A3F8E92" w:rsidR="00A26B70" w:rsidRPr="009E316A" w:rsidRDefault="00A26B70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Establishment of the prime sponsored award in UD’s financial system</w:t>
      </w:r>
      <w:r w:rsidR="00BA3D8F" w:rsidRPr="009E316A">
        <w:rPr>
          <w:rFonts w:ascii="Arial" w:eastAsia="Times New Roman" w:hAnsi="Arial" w:cs="Arial"/>
          <w:sz w:val="20"/>
          <w:szCs w:val="20"/>
        </w:rPr>
        <w:t>.</w:t>
      </w:r>
    </w:p>
    <w:p w14:paraId="5488CE4D" w14:textId="6676C647" w:rsidR="00A26B70" w:rsidRPr="009E316A" w:rsidRDefault="00A26B70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Establishment of the subaward purchase order</w:t>
      </w:r>
      <w:r w:rsidR="00E80C78" w:rsidRPr="009E316A">
        <w:rPr>
          <w:rFonts w:ascii="Arial" w:eastAsia="Times New Roman" w:hAnsi="Arial" w:cs="Arial"/>
          <w:sz w:val="20"/>
          <w:szCs w:val="20"/>
        </w:rPr>
        <w:t xml:space="preserve"> requisition or amendment</w:t>
      </w:r>
      <w:r w:rsidR="00086B8A" w:rsidRPr="009E316A">
        <w:rPr>
          <w:rFonts w:ascii="Arial" w:eastAsia="Times New Roman" w:hAnsi="Arial" w:cs="Arial"/>
          <w:sz w:val="20"/>
          <w:szCs w:val="20"/>
        </w:rPr>
        <w:t>.</w:t>
      </w:r>
    </w:p>
    <w:p w14:paraId="2493D002" w14:textId="53A35EDC" w:rsidR="005D4555" w:rsidRPr="009E316A" w:rsidRDefault="005D4555" w:rsidP="005D4555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Confirmation that s</w:t>
      </w:r>
      <w:r w:rsidR="00C44AA4" w:rsidRPr="009E316A">
        <w:rPr>
          <w:rFonts w:ascii="Arial" w:eastAsia="Times New Roman" w:hAnsi="Arial" w:cs="Arial"/>
          <w:sz w:val="20"/>
          <w:szCs w:val="20"/>
        </w:rPr>
        <w:t xml:space="preserve">ubrecipients </w:t>
      </w:r>
      <w:r w:rsidR="00E80C78" w:rsidRPr="009E316A">
        <w:rPr>
          <w:rFonts w:ascii="Arial" w:eastAsia="Times New Roman" w:hAnsi="Arial" w:cs="Arial"/>
          <w:sz w:val="20"/>
          <w:szCs w:val="20"/>
        </w:rPr>
        <w:t xml:space="preserve">receiving federal or federal flow through funds </w:t>
      </w:r>
      <w:r w:rsidR="00C44AA4" w:rsidRPr="009E316A">
        <w:rPr>
          <w:rFonts w:ascii="Arial" w:eastAsia="Times New Roman" w:hAnsi="Arial" w:cs="Arial"/>
          <w:sz w:val="20"/>
          <w:szCs w:val="20"/>
        </w:rPr>
        <w:t xml:space="preserve">have a DUNS# and </w:t>
      </w:r>
      <w:r w:rsidR="001B0876" w:rsidRPr="009E316A">
        <w:rPr>
          <w:rFonts w:ascii="Arial" w:eastAsia="Times New Roman" w:hAnsi="Arial" w:cs="Arial"/>
          <w:sz w:val="20"/>
          <w:szCs w:val="20"/>
        </w:rPr>
        <w:t xml:space="preserve">an </w:t>
      </w:r>
      <w:r w:rsidR="00C44AA4" w:rsidRPr="009E316A">
        <w:rPr>
          <w:rFonts w:ascii="Arial" w:eastAsia="Times New Roman" w:hAnsi="Arial" w:cs="Arial"/>
          <w:sz w:val="20"/>
          <w:szCs w:val="20"/>
        </w:rPr>
        <w:t>active SAM registration</w:t>
      </w:r>
      <w:r w:rsidR="00956506" w:rsidRPr="009E316A">
        <w:rPr>
          <w:rFonts w:ascii="Arial" w:eastAsia="Times New Roman" w:hAnsi="Arial" w:cs="Arial"/>
          <w:sz w:val="20"/>
          <w:szCs w:val="20"/>
        </w:rPr>
        <w:t>.</w:t>
      </w:r>
    </w:p>
    <w:p w14:paraId="07BD7DFC" w14:textId="28B84B02" w:rsidR="005D4555" w:rsidRPr="009E316A" w:rsidRDefault="005D4555" w:rsidP="005D4555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lastRenderedPageBreak/>
        <w:t>Completion of subrecipient risk assessment</w:t>
      </w:r>
      <w:r w:rsidR="00BA3D8F" w:rsidRPr="009E316A">
        <w:rPr>
          <w:rFonts w:ascii="Arial" w:eastAsia="Times New Roman" w:hAnsi="Arial" w:cs="Arial"/>
          <w:sz w:val="20"/>
          <w:szCs w:val="20"/>
        </w:rPr>
        <w:t xml:space="preserve"> or monitoring activities per </w:t>
      </w:r>
      <w:r w:rsidR="00712D90" w:rsidRPr="009E316A">
        <w:rPr>
          <w:rFonts w:ascii="Arial" w:eastAsia="Times New Roman" w:hAnsi="Arial" w:cs="Arial"/>
          <w:sz w:val="20"/>
          <w:szCs w:val="20"/>
        </w:rPr>
        <w:t xml:space="preserve">subsequent sections of </w:t>
      </w:r>
      <w:r w:rsidR="00BA3D8F" w:rsidRPr="009E316A">
        <w:rPr>
          <w:rFonts w:ascii="Arial" w:eastAsia="Times New Roman" w:hAnsi="Arial" w:cs="Arial"/>
          <w:sz w:val="20"/>
          <w:szCs w:val="20"/>
        </w:rPr>
        <w:t>this policy</w:t>
      </w:r>
      <w:r w:rsidRPr="009E316A">
        <w:rPr>
          <w:rFonts w:ascii="Arial" w:eastAsia="Times New Roman" w:hAnsi="Arial" w:cs="Arial"/>
          <w:sz w:val="20"/>
          <w:szCs w:val="20"/>
        </w:rPr>
        <w:t>. UD reserves the right not to enter into a subaward</w:t>
      </w:r>
      <w:r w:rsidR="00E80C78" w:rsidRPr="009E316A">
        <w:rPr>
          <w:rFonts w:ascii="Arial" w:eastAsia="Times New Roman" w:hAnsi="Arial" w:cs="Arial"/>
          <w:sz w:val="20"/>
          <w:szCs w:val="20"/>
        </w:rPr>
        <w:t xml:space="preserve"> or terminate an existing</w:t>
      </w:r>
      <w:r w:rsidRPr="009E316A">
        <w:rPr>
          <w:rFonts w:ascii="Arial" w:eastAsia="Times New Roman" w:hAnsi="Arial" w:cs="Arial"/>
          <w:sz w:val="20"/>
          <w:szCs w:val="20"/>
        </w:rPr>
        <w:t xml:space="preserve"> relationship wherein the risk of engagement is deemed too high or excessive.</w:t>
      </w:r>
    </w:p>
    <w:p w14:paraId="5CA36275" w14:textId="77777777" w:rsidR="00041763" w:rsidRPr="009E316A" w:rsidRDefault="00041763" w:rsidP="00041763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ACE13FF" w14:textId="1F982561" w:rsidR="00C44AA4" w:rsidRPr="009E316A" w:rsidRDefault="00041763" w:rsidP="00041763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K</w:t>
      </w:r>
      <w:r w:rsidR="00C44AA4" w:rsidRPr="009E316A">
        <w:rPr>
          <w:rFonts w:ascii="Arial" w:eastAsia="Times New Roman" w:hAnsi="Arial" w:cs="Arial"/>
          <w:sz w:val="20"/>
          <w:szCs w:val="20"/>
        </w:rPr>
        <w:t xml:space="preserve">ey </w:t>
      </w:r>
      <w:r w:rsidRPr="009E316A">
        <w:rPr>
          <w:rFonts w:ascii="Arial" w:eastAsia="Times New Roman" w:hAnsi="Arial" w:cs="Arial"/>
          <w:sz w:val="20"/>
          <w:szCs w:val="20"/>
        </w:rPr>
        <w:t>items</w:t>
      </w:r>
      <w:r w:rsidR="005059C0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Pr="009E316A">
        <w:rPr>
          <w:rFonts w:ascii="Arial" w:eastAsia="Times New Roman" w:hAnsi="Arial" w:cs="Arial"/>
          <w:sz w:val="20"/>
          <w:szCs w:val="20"/>
        </w:rPr>
        <w:t>outlined in the subaward agreement issued by UD should include:</w:t>
      </w:r>
    </w:p>
    <w:p w14:paraId="2ADEC518" w14:textId="74088C88" w:rsidR="006D74F6" w:rsidRPr="009E316A" w:rsidRDefault="006D74F6" w:rsidP="006D74F6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Payment Terms</w:t>
      </w:r>
    </w:p>
    <w:p w14:paraId="1EB32024" w14:textId="77777777" w:rsidR="006D74F6" w:rsidRPr="009E316A" w:rsidRDefault="006D74F6" w:rsidP="006D74F6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Subawards are typically issued on a cost-reimbursement basis by UD.</w:t>
      </w:r>
    </w:p>
    <w:p w14:paraId="41ADC0A7" w14:textId="77777777" w:rsidR="006D74F6" w:rsidRPr="009E316A" w:rsidRDefault="006D74F6" w:rsidP="006D74F6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UD will issue a fixed price subaward with a predetermined payment schedule under limited circumstances. Fixed price awards typically:</w:t>
      </w:r>
    </w:p>
    <w:p w14:paraId="3B1C9C30" w14:textId="77777777" w:rsidR="006D74F6" w:rsidRPr="009E316A" w:rsidRDefault="006D74F6" w:rsidP="006D74F6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Require prior written approval (or waiver thereof) by the sponsor.</w:t>
      </w:r>
    </w:p>
    <w:p w14:paraId="74FE6654" w14:textId="77777777" w:rsidR="006D74F6" w:rsidRPr="009E316A" w:rsidRDefault="006D74F6" w:rsidP="006D74F6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Require a specific project scope in alignment with prime sponsored award objectives, wherein subrecipient accountability is based on performance and results.</w:t>
      </w:r>
    </w:p>
    <w:p w14:paraId="12B121D2" w14:textId="77777777" w:rsidR="006D74F6" w:rsidRPr="009E316A" w:rsidRDefault="006D74F6" w:rsidP="006D74F6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May not exceed $150,000 funds wherein:</w:t>
      </w:r>
    </w:p>
    <w:p w14:paraId="5A6BA1BC" w14:textId="77777777" w:rsidR="006D74F6" w:rsidRPr="009E316A" w:rsidRDefault="006D74F6" w:rsidP="006D74F6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The fixed funding amount is based on adequate cost, historical, or unit pricing data used to reasonably estimate actual costs.</w:t>
      </w:r>
    </w:p>
    <w:p w14:paraId="1A39822E" w14:textId="77777777" w:rsidR="006D74F6" w:rsidRPr="009E316A" w:rsidRDefault="006D74F6" w:rsidP="006D74F6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Payments are based on meeting requirements of the sponsored award.</w:t>
      </w:r>
    </w:p>
    <w:p w14:paraId="687B7DA7" w14:textId="77777777" w:rsidR="00FC72E7" w:rsidRPr="009E316A" w:rsidRDefault="006D74F6" w:rsidP="00FC72E7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Mandatory cost sharing or match is not required by the sponsored award.</w:t>
      </w:r>
    </w:p>
    <w:p w14:paraId="3A91F7AF" w14:textId="3CFD9CF7" w:rsidR="00FC72E7" w:rsidRPr="009E316A" w:rsidRDefault="00FC72E7" w:rsidP="00FC72E7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The subrecipient will realize no increment above actual costs. </w:t>
      </w:r>
    </w:p>
    <w:p w14:paraId="10620E90" w14:textId="77777777" w:rsidR="006D74F6" w:rsidRPr="009E316A" w:rsidRDefault="006D74F6" w:rsidP="006D74F6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Must specify and utilize one of the following payment methods:</w:t>
      </w:r>
    </w:p>
    <w:p w14:paraId="66C0FFD7" w14:textId="77777777" w:rsidR="006D74F6" w:rsidRPr="009E316A" w:rsidRDefault="006D74F6" w:rsidP="006D74F6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Payments made for a set of specific milestones agreed upon prior to work performed and set forth in the prime sponsored award.</w:t>
      </w:r>
    </w:p>
    <w:p w14:paraId="41C339A4" w14:textId="77777777" w:rsidR="006D74F6" w:rsidRPr="009E316A" w:rsidRDefault="006D74F6" w:rsidP="006D74F6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Payments made on a per-unit basis at defined prices agreed upon prior to work performed and set forth in the prime sponsored award.</w:t>
      </w:r>
    </w:p>
    <w:p w14:paraId="2ED1D9E0" w14:textId="10D11FF2" w:rsidR="006D74F6" w:rsidRPr="009E316A" w:rsidRDefault="006D74F6" w:rsidP="006D74F6">
      <w:pPr>
        <w:pStyle w:val="ListParagraph"/>
        <w:numPr>
          <w:ilvl w:val="5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Lump sum payment made at time of award completion.</w:t>
      </w:r>
    </w:p>
    <w:p w14:paraId="1BA71620" w14:textId="08171D01" w:rsidR="006D74F6" w:rsidRPr="009E316A" w:rsidRDefault="006D74F6" w:rsidP="006D74F6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Authorized Funding Amount and Period of Performance</w:t>
      </w:r>
    </w:p>
    <w:p w14:paraId="380BE793" w14:textId="6C79FB0B" w:rsidR="006D74F6" w:rsidRPr="009E316A" w:rsidRDefault="006D74F6" w:rsidP="006D74F6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Subawards will be issued and modified in alignment with their allotted budget amount and timeline authorized per UD’s prime sponsored </w:t>
      </w:r>
      <w:r w:rsidR="00FC72E7" w:rsidRPr="009E316A">
        <w:rPr>
          <w:rFonts w:ascii="Arial" w:eastAsia="Times New Roman" w:hAnsi="Arial" w:cs="Arial"/>
          <w:sz w:val="20"/>
          <w:szCs w:val="20"/>
        </w:rPr>
        <w:t xml:space="preserve">award.  </w:t>
      </w:r>
    </w:p>
    <w:p w14:paraId="6E9DCFBD" w14:textId="3D475663" w:rsidR="006D74F6" w:rsidRPr="009E316A" w:rsidRDefault="006D74F6" w:rsidP="006D74F6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Subawards are normally issued annually to coincide with routine monitoring activities. Only in unique situations will a subaward be issued in increments greater than one year.</w:t>
      </w:r>
    </w:p>
    <w:p w14:paraId="24E64AD4" w14:textId="750D9CD4" w:rsidR="006D74F6" w:rsidRPr="009E316A" w:rsidRDefault="006D74F6" w:rsidP="006D74F6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Facilities and Administrative Costs (F&amp;A)</w:t>
      </w:r>
    </w:p>
    <w:p w14:paraId="50063210" w14:textId="77777777" w:rsidR="006D74F6" w:rsidRPr="009E316A" w:rsidRDefault="006D74F6" w:rsidP="006D74F6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UD personnel may not require/suggest subrecipients forego their entitled F&amp;A. </w:t>
      </w:r>
    </w:p>
    <w:p w14:paraId="264667EE" w14:textId="08C29A85" w:rsidR="006D74F6" w:rsidRPr="009E316A" w:rsidRDefault="006D74F6" w:rsidP="006D74F6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UD will issue a subaward using the subrecipient’s federally negotiated F&amp;A rate except under circumstances specified below:</w:t>
      </w:r>
    </w:p>
    <w:p w14:paraId="39D0C570" w14:textId="77777777" w:rsidR="006D74F6" w:rsidRPr="009E316A" w:rsidRDefault="006D74F6" w:rsidP="006D74F6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UD and subrecipients are required to limit total F&amp;A to a cap specified per written sponsor policy or the funding opportunity.</w:t>
      </w:r>
    </w:p>
    <w:p w14:paraId="2CAE97EA" w14:textId="64C5E01D" w:rsidR="006D74F6" w:rsidRPr="009E316A" w:rsidRDefault="00FC72E7" w:rsidP="006D74F6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If the subrecipient does not have a federally negotiated F&amp;A rate, a de </w:t>
      </w:r>
      <w:proofErr w:type="spellStart"/>
      <w:r w:rsidRPr="009E316A">
        <w:rPr>
          <w:rFonts w:ascii="Arial" w:eastAsia="Times New Roman" w:hAnsi="Arial" w:cs="Arial"/>
          <w:sz w:val="20"/>
          <w:szCs w:val="20"/>
        </w:rPr>
        <w:t>miniumus</w:t>
      </w:r>
      <w:proofErr w:type="spellEnd"/>
      <w:r w:rsidRPr="009E316A">
        <w:rPr>
          <w:rFonts w:ascii="Arial" w:eastAsia="Times New Roman" w:hAnsi="Arial" w:cs="Arial"/>
          <w:sz w:val="20"/>
          <w:szCs w:val="20"/>
        </w:rPr>
        <w:t xml:space="preserve"> 10% F&amp;A rate will be used on the subaward’s Modified Total Direct Costs (MTDC) per Uniform Guidance 2 CFR 200.414. </w:t>
      </w:r>
      <w:r w:rsidR="00860C90" w:rsidRPr="009E316A">
        <w:rPr>
          <w:rFonts w:ascii="Arial" w:eastAsia="Times New Roman" w:hAnsi="Arial" w:cs="Arial"/>
          <w:sz w:val="20"/>
          <w:szCs w:val="20"/>
        </w:rPr>
        <w:t xml:space="preserve">Subrecipients which have </w:t>
      </w:r>
      <w:r w:rsidR="006D74F6" w:rsidRPr="009E316A">
        <w:rPr>
          <w:rFonts w:ascii="Arial" w:eastAsia="Times New Roman" w:hAnsi="Arial" w:cs="Arial"/>
          <w:sz w:val="20"/>
          <w:szCs w:val="20"/>
        </w:rPr>
        <w:t xml:space="preserve">had a </w:t>
      </w:r>
      <w:r w:rsidR="00BC1AA6" w:rsidRPr="009E316A">
        <w:rPr>
          <w:rFonts w:ascii="Arial" w:eastAsia="Times New Roman" w:hAnsi="Arial" w:cs="Arial"/>
          <w:sz w:val="20"/>
          <w:szCs w:val="20"/>
        </w:rPr>
        <w:t xml:space="preserve">federally </w:t>
      </w:r>
      <w:r w:rsidR="006D74F6" w:rsidRPr="009E316A">
        <w:rPr>
          <w:rFonts w:ascii="Arial" w:eastAsia="Times New Roman" w:hAnsi="Arial" w:cs="Arial"/>
          <w:sz w:val="20"/>
          <w:szCs w:val="20"/>
        </w:rPr>
        <w:t>negotiated F&amp;A rate in the past</w:t>
      </w:r>
      <w:r w:rsidR="00860C90" w:rsidRPr="009E316A">
        <w:rPr>
          <w:rFonts w:ascii="Arial" w:eastAsia="Times New Roman" w:hAnsi="Arial" w:cs="Arial"/>
          <w:sz w:val="20"/>
          <w:szCs w:val="20"/>
        </w:rPr>
        <w:t xml:space="preserve"> are not eligible for the de </w:t>
      </w:r>
      <w:proofErr w:type="spellStart"/>
      <w:r w:rsidR="00860C90" w:rsidRPr="009E316A">
        <w:rPr>
          <w:rFonts w:ascii="Arial" w:eastAsia="Times New Roman" w:hAnsi="Arial" w:cs="Arial"/>
          <w:sz w:val="20"/>
          <w:szCs w:val="20"/>
        </w:rPr>
        <w:t>minimus</w:t>
      </w:r>
      <w:proofErr w:type="spellEnd"/>
      <w:r w:rsidR="00860C90" w:rsidRPr="009E316A">
        <w:rPr>
          <w:rFonts w:ascii="Arial" w:eastAsia="Times New Roman" w:hAnsi="Arial" w:cs="Arial"/>
          <w:sz w:val="20"/>
          <w:szCs w:val="20"/>
        </w:rPr>
        <w:t xml:space="preserve"> 10% F&amp;A rate.</w:t>
      </w:r>
    </w:p>
    <w:p w14:paraId="78DDA698" w14:textId="77777777" w:rsidR="008A6096" w:rsidRPr="009E316A" w:rsidRDefault="008A6096" w:rsidP="008A6096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865977F" w14:textId="3B8083C4" w:rsidR="001C0F46" w:rsidRPr="009E316A" w:rsidRDefault="001C0F46" w:rsidP="00041763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Subrecipient Risk Assessment</w:t>
      </w:r>
      <w:r w:rsidR="005D4555" w:rsidRPr="009E316A">
        <w:rPr>
          <w:rFonts w:ascii="Arial" w:eastAsia="Times New Roman" w:hAnsi="Arial" w:cs="Arial"/>
          <w:b/>
          <w:bCs/>
          <w:sz w:val="20"/>
          <w:szCs w:val="20"/>
        </w:rPr>
        <w:t xml:space="preserve"> and Monitoring</w:t>
      </w:r>
    </w:p>
    <w:p w14:paraId="5126D1E7" w14:textId="77777777" w:rsidR="008A6096" w:rsidRPr="009E316A" w:rsidRDefault="008A6096" w:rsidP="008A6096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386B0F2" w14:textId="06879710" w:rsidR="000F2BD2" w:rsidRPr="009E316A" w:rsidRDefault="001C0F46" w:rsidP="00041763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It is </w:t>
      </w:r>
      <w:r w:rsidR="000F2BD2" w:rsidRPr="009E316A">
        <w:rPr>
          <w:rFonts w:ascii="Arial" w:eastAsia="Times New Roman" w:hAnsi="Arial" w:cs="Arial"/>
          <w:sz w:val="20"/>
          <w:szCs w:val="20"/>
        </w:rPr>
        <w:t>UD</w:t>
      </w:r>
      <w:r w:rsidRPr="009E316A">
        <w:rPr>
          <w:rFonts w:ascii="Arial" w:eastAsia="Times New Roman" w:hAnsi="Arial" w:cs="Arial"/>
          <w:sz w:val="20"/>
          <w:szCs w:val="20"/>
        </w:rPr>
        <w:t xml:space="preserve">’s policy to </w:t>
      </w:r>
      <w:r w:rsidR="000F2BD2" w:rsidRPr="009E316A">
        <w:rPr>
          <w:rFonts w:ascii="Arial" w:eastAsia="Times New Roman" w:hAnsi="Arial" w:cs="Arial"/>
          <w:sz w:val="20"/>
          <w:szCs w:val="20"/>
        </w:rPr>
        <w:t>complete</w:t>
      </w:r>
      <w:r w:rsidR="00D22352" w:rsidRPr="009E316A">
        <w:rPr>
          <w:rFonts w:ascii="Arial" w:eastAsia="Times New Roman" w:hAnsi="Arial" w:cs="Arial"/>
          <w:sz w:val="20"/>
          <w:szCs w:val="20"/>
        </w:rPr>
        <w:t xml:space="preserve"> a</w:t>
      </w:r>
      <w:r w:rsidR="00705215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D22352" w:rsidRPr="009E316A">
        <w:rPr>
          <w:rFonts w:ascii="Arial" w:eastAsia="Times New Roman" w:hAnsi="Arial" w:cs="Arial"/>
          <w:sz w:val="20"/>
          <w:szCs w:val="20"/>
        </w:rPr>
        <w:t>risk assessment prior to issuing a subaward</w:t>
      </w:r>
      <w:r w:rsidR="00860C90" w:rsidRPr="009E316A">
        <w:rPr>
          <w:rFonts w:ascii="Arial" w:eastAsia="Times New Roman" w:hAnsi="Arial" w:cs="Arial"/>
          <w:sz w:val="20"/>
          <w:szCs w:val="20"/>
        </w:rPr>
        <w:t>/amendment, no less than annually</w:t>
      </w:r>
      <w:r w:rsidR="00D22352" w:rsidRPr="009E316A">
        <w:rPr>
          <w:rFonts w:ascii="Arial" w:eastAsia="Times New Roman" w:hAnsi="Arial" w:cs="Arial"/>
          <w:sz w:val="20"/>
          <w:szCs w:val="20"/>
        </w:rPr>
        <w:t xml:space="preserve">. This ensures that the most appropriate subrecipient monitoring plan is: </w:t>
      </w:r>
    </w:p>
    <w:p w14:paraId="39692130" w14:textId="31D296FA" w:rsidR="000F2BD2" w:rsidRPr="009E316A" w:rsidRDefault="000F2BD2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D</w:t>
      </w:r>
      <w:r w:rsidR="00D22352" w:rsidRPr="009E316A">
        <w:rPr>
          <w:rFonts w:ascii="Arial" w:eastAsia="Times New Roman" w:hAnsi="Arial" w:cs="Arial"/>
          <w:sz w:val="20"/>
          <w:szCs w:val="20"/>
        </w:rPr>
        <w:t>eveloped based on a standardized process</w:t>
      </w:r>
      <w:r w:rsidR="00705215" w:rsidRPr="009E316A">
        <w:rPr>
          <w:rFonts w:ascii="Arial" w:eastAsia="Times New Roman" w:hAnsi="Arial" w:cs="Arial"/>
          <w:sz w:val="20"/>
          <w:szCs w:val="20"/>
        </w:rPr>
        <w:t>,</w:t>
      </w:r>
    </w:p>
    <w:p w14:paraId="3C310EB9" w14:textId="5BE2EA09" w:rsidR="000F2BD2" w:rsidRPr="009E316A" w:rsidRDefault="000F2BD2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C</w:t>
      </w:r>
      <w:r w:rsidR="00D22352" w:rsidRPr="009E316A">
        <w:rPr>
          <w:rFonts w:ascii="Arial" w:eastAsia="Times New Roman" w:hAnsi="Arial" w:cs="Arial"/>
          <w:sz w:val="20"/>
          <w:szCs w:val="20"/>
        </w:rPr>
        <w:t xml:space="preserve">ommunicated to the subrecipient, and </w:t>
      </w:r>
    </w:p>
    <w:p w14:paraId="13D3F8B7" w14:textId="27EDFC8D" w:rsidR="00D22352" w:rsidRPr="009E316A" w:rsidRDefault="000F2BD2" w:rsidP="00041763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D</w:t>
      </w:r>
      <w:r w:rsidR="00D22352" w:rsidRPr="009E316A">
        <w:rPr>
          <w:rFonts w:ascii="Arial" w:eastAsia="Times New Roman" w:hAnsi="Arial" w:cs="Arial"/>
          <w:sz w:val="20"/>
          <w:szCs w:val="20"/>
        </w:rPr>
        <w:t>ocumented in the terms of the subaward.</w:t>
      </w:r>
    </w:p>
    <w:p w14:paraId="75777F6A" w14:textId="77777777" w:rsidR="00BA3D8F" w:rsidRPr="009E316A" w:rsidRDefault="00BA3D8F" w:rsidP="00BA3D8F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FFE639E" w14:textId="0FFA120B" w:rsidR="00BA3D8F" w:rsidRPr="009E316A" w:rsidRDefault="00BA3D8F" w:rsidP="00BA3D8F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UD’s risk assessment categorize</w:t>
      </w:r>
      <w:r w:rsidR="009F71AA" w:rsidRPr="009E316A">
        <w:rPr>
          <w:rFonts w:ascii="Arial" w:eastAsia="Times New Roman" w:hAnsi="Arial" w:cs="Arial"/>
          <w:sz w:val="20"/>
          <w:szCs w:val="20"/>
        </w:rPr>
        <w:t>s</w:t>
      </w:r>
      <w:r w:rsidRPr="009E316A">
        <w:rPr>
          <w:rFonts w:ascii="Arial" w:eastAsia="Times New Roman" w:hAnsi="Arial" w:cs="Arial"/>
          <w:sz w:val="20"/>
          <w:szCs w:val="20"/>
        </w:rPr>
        <w:t xml:space="preserve"> a subrecipient</w:t>
      </w:r>
      <w:r w:rsidR="00A77925" w:rsidRPr="009E316A">
        <w:rPr>
          <w:rFonts w:ascii="Arial" w:eastAsia="Times New Roman" w:hAnsi="Arial" w:cs="Arial"/>
          <w:sz w:val="20"/>
          <w:szCs w:val="20"/>
        </w:rPr>
        <w:t xml:space="preserve"> as “Low”, “</w:t>
      </w:r>
      <w:r w:rsidR="00860C90" w:rsidRPr="009E316A">
        <w:rPr>
          <w:rFonts w:ascii="Arial" w:eastAsia="Times New Roman" w:hAnsi="Arial" w:cs="Arial"/>
          <w:sz w:val="20"/>
          <w:szCs w:val="20"/>
        </w:rPr>
        <w:t>Moderate</w:t>
      </w:r>
      <w:r w:rsidR="00A77925" w:rsidRPr="009E316A">
        <w:rPr>
          <w:rFonts w:ascii="Arial" w:eastAsia="Times New Roman" w:hAnsi="Arial" w:cs="Arial"/>
          <w:sz w:val="20"/>
          <w:szCs w:val="20"/>
        </w:rPr>
        <w:t>” or “High” risk</w:t>
      </w:r>
      <w:r w:rsidRPr="009E316A">
        <w:rPr>
          <w:rFonts w:ascii="Arial" w:eastAsia="Times New Roman" w:hAnsi="Arial" w:cs="Arial"/>
          <w:sz w:val="20"/>
          <w:szCs w:val="20"/>
        </w:rPr>
        <w:t xml:space="preserve"> based on </w:t>
      </w:r>
      <w:r w:rsidR="009F71AA" w:rsidRPr="009E316A">
        <w:rPr>
          <w:rFonts w:ascii="Arial" w:eastAsia="Times New Roman" w:hAnsi="Arial" w:cs="Arial"/>
          <w:sz w:val="20"/>
          <w:szCs w:val="20"/>
        </w:rPr>
        <w:t xml:space="preserve">a predetermined set of </w:t>
      </w:r>
      <w:r w:rsidRPr="009E316A">
        <w:rPr>
          <w:rFonts w:ascii="Arial" w:eastAsia="Times New Roman" w:hAnsi="Arial" w:cs="Arial"/>
          <w:sz w:val="20"/>
          <w:szCs w:val="20"/>
        </w:rPr>
        <w:t xml:space="preserve">risk </w:t>
      </w:r>
      <w:r w:rsidR="009F71AA" w:rsidRPr="009E316A">
        <w:rPr>
          <w:rFonts w:ascii="Arial" w:eastAsia="Times New Roman" w:hAnsi="Arial" w:cs="Arial"/>
          <w:sz w:val="20"/>
          <w:szCs w:val="20"/>
        </w:rPr>
        <w:t xml:space="preserve">factors. </w:t>
      </w:r>
      <w:r w:rsidR="00AA2169" w:rsidRPr="009E316A">
        <w:rPr>
          <w:rFonts w:ascii="Arial" w:eastAsia="Times New Roman" w:hAnsi="Arial" w:cs="Arial"/>
          <w:sz w:val="20"/>
          <w:szCs w:val="20"/>
        </w:rPr>
        <w:t>Typical i</w:t>
      </w:r>
      <w:r w:rsidR="009F71AA" w:rsidRPr="009E316A">
        <w:rPr>
          <w:rFonts w:ascii="Arial" w:eastAsia="Times New Roman" w:hAnsi="Arial" w:cs="Arial"/>
          <w:sz w:val="20"/>
          <w:szCs w:val="20"/>
        </w:rPr>
        <w:t>mplications for subrecipient monitoring based on their assigned risk level are outlined below</w:t>
      </w:r>
      <w:r w:rsidR="00746D1A" w:rsidRPr="009E316A">
        <w:rPr>
          <w:rFonts w:ascii="Arial" w:eastAsia="Times New Roman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255"/>
        <w:gridCol w:w="8095"/>
      </w:tblGrid>
      <w:tr w:rsidR="009F71AA" w:rsidRPr="0019192A" w14:paraId="59A368A7" w14:textId="77777777" w:rsidTr="0019192A">
        <w:tc>
          <w:tcPr>
            <w:tcW w:w="1255" w:type="dxa"/>
            <w:shd w:val="clear" w:color="auto" w:fill="0070C0"/>
          </w:tcPr>
          <w:p w14:paraId="68794114" w14:textId="165646F2" w:rsidR="009F71AA" w:rsidRPr="0019192A" w:rsidRDefault="009F71AA" w:rsidP="00CA01B7">
            <w:pPr>
              <w:pStyle w:val="ListParagraph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Risk Level</w:t>
            </w:r>
          </w:p>
        </w:tc>
        <w:tc>
          <w:tcPr>
            <w:tcW w:w="8095" w:type="dxa"/>
            <w:shd w:val="clear" w:color="auto" w:fill="0070C0"/>
          </w:tcPr>
          <w:p w14:paraId="0EC2938E" w14:textId="2C072C38" w:rsidR="009F71AA" w:rsidRPr="0019192A" w:rsidRDefault="009F71AA" w:rsidP="00CA01B7">
            <w:pPr>
              <w:pStyle w:val="ListParagraph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Subrecipient Monitoring </w:t>
            </w:r>
            <w:r w:rsidR="00B66D3F"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Guidelines</w:t>
            </w:r>
          </w:p>
        </w:tc>
      </w:tr>
      <w:tr w:rsidR="009F71AA" w:rsidRPr="0019192A" w14:paraId="4BC9C512" w14:textId="77777777" w:rsidTr="0019192A">
        <w:tc>
          <w:tcPr>
            <w:tcW w:w="1255" w:type="dxa"/>
            <w:shd w:val="clear" w:color="auto" w:fill="00B050"/>
          </w:tcPr>
          <w:p w14:paraId="78F47E9A" w14:textId="7916A903" w:rsidR="009F71AA" w:rsidRPr="0019192A" w:rsidRDefault="009F71AA" w:rsidP="00CA01B7">
            <w:pPr>
              <w:pStyle w:val="ListParagraph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Low Risk</w:t>
            </w:r>
          </w:p>
        </w:tc>
        <w:tc>
          <w:tcPr>
            <w:tcW w:w="8095" w:type="dxa"/>
          </w:tcPr>
          <w:p w14:paraId="590F6CFF" w14:textId="77777777" w:rsidR="00B66D3F" w:rsidRPr="009E316A" w:rsidRDefault="00B66D3F" w:rsidP="00B66D3F">
            <w:pPr>
              <w:pStyle w:val="Default"/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Check all subrecipient invoices to confirm they: </w:t>
            </w:r>
          </w:p>
          <w:p w14:paraId="3FD557DD" w14:textId="77777777" w:rsidR="00B66D3F" w:rsidRPr="009E316A" w:rsidRDefault="00B66D3F" w:rsidP="00B66D3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Adhere to the required format as specified in the subaward agreement which requires inclusion of the following: </w:t>
            </w:r>
          </w:p>
          <w:p w14:paraId="7698A255" w14:textId="77777777" w:rsidR="00B66D3F" w:rsidRPr="009E316A" w:rsidRDefault="00B66D3F" w:rsidP="00B66D3F">
            <w:pPr>
              <w:pStyle w:val="Default"/>
              <w:numPr>
                <w:ilvl w:val="1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UD Purchase Order Number </w:t>
            </w:r>
          </w:p>
          <w:p w14:paraId="58988A0B" w14:textId="77777777" w:rsidR="00B66D3F" w:rsidRPr="009E316A" w:rsidRDefault="00B66D3F" w:rsidP="00B66D3F">
            <w:pPr>
              <w:pStyle w:val="Default"/>
              <w:numPr>
                <w:ilvl w:val="1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UD Award Number </w:t>
            </w:r>
          </w:p>
          <w:p w14:paraId="6EF4A8E0" w14:textId="77777777" w:rsidR="00B66D3F" w:rsidRPr="009E316A" w:rsidRDefault="00B66D3F" w:rsidP="00B66D3F">
            <w:pPr>
              <w:pStyle w:val="Default"/>
              <w:numPr>
                <w:ilvl w:val="1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Invoice line items per the approved subaward budget </w:t>
            </w:r>
          </w:p>
          <w:p w14:paraId="3AFF9442" w14:textId="12FDE35E" w:rsidR="00B66D3F" w:rsidRPr="009E316A" w:rsidRDefault="00B66D3F" w:rsidP="00B66D3F">
            <w:pPr>
              <w:pStyle w:val="Default"/>
              <w:numPr>
                <w:ilvl w:val="1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Current and Cumulative Totals </w:t>
            </w:r>
            <w:r w:rsidR="00860C90" w:rsidRPr="009E316A">
              <w:rPr>
                <w:color w:val="auto"/>
                <w:sz w:val="20"/>
                <w:szCs w:val="20"/>
              </w:rPr>
              <w:t>by budget category (including Cost Share)</w:t>
            </w:r>
          </w:p>
          <w:p w14:paraId="79E77D9E" w14:textId="77777777" w:rsidR="00B66D3F" w:rsidRPr="009E316A" w:rsidRDefault="00B66D3F" w:rsidP="00B66D3F">
            <w:pPr>
              <w:pStyle w:val="Default"/>
              <w:numPr>
                <w:ilvl w:val="1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lastRenderedPageBreak/>
              <w:t xml:space="preserve">A signed certification statement as to the accuracy and appropriateness of the charges from an authorized Subrecipient Institutional Official </w:t>
            </w:r>
          </w:p>
          <w:p w14:paraId="40CB07D7" w14:textId="51DC04AB" w:rsidR="00B66D3F" w:rsidRPr="009E316A" w:rsidRDefault="00B66D3F" w:rsidP="00B66D3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Are within the allowable subaward project period start and end dates </w:t>
            </w:r>
          </w:p>
          <w:p w14:paraId="47F89D3E" w14:textId="66A6E494" w:rsidR="00B66D3F" w:rsidRPr="009E316A" w:rsidRDefault="00B66D3F" w:rsidP="00B66D3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Contain F&amp;A charges calculated in accordance with the </w:t>
            </w:r>
            <w:r w:rsidR="00FC72E7" w:rsidRPr="009E316A">
              <w:rPr>
                <w:color w:val="auto"/>
                <w:sz w:val="20"/>
                <w:szCs w:val="20"/>
              </w:rPr>
              <w:t>s</w:t>
            </w:r>
            <w:r w:rsidR="00860C90" w:rsidRPr="009E316A">
              <w:rPr>
                <w:color w:val="auto"/>
                <w:sz w:val="20"/>
                <w:szCs w:val="20"/>
              </w:rPr>
              <w:t xml:space="preserve">ubrecipient’s </w:t>
            </w:r>
            <w:r w:rsidR="00BC1AA6" w:rsidRPr="009E316A">
              <w:rPr>
                <w:color w:val="auto"/>
                <w:sz w:val="20"/>
                <w:szCs w:val="20"/>
              </w:rPr>
              <w:t xml:space="preserve">federally </w:t>
            </w:r>
            <w:r w:rsidR="00860C90" w:rsidRPr="009E316A">
              <w:rPr>
                <w:color w:val="auto"/>
                <w:sz w:val="20"/>
                <w:szCs w:val="20"/>
              </w:rPr>
              <w:t>negotiated F&amp;A rate agreement</w:t>
            </w:r>
          </w:p>
          <w:p w14:paraId="27B54112" w14:textId="45903C59" w:rsidR="00B66D3F" w:rsidRPr="009E316A" w:rsidRDefault="00B66D3F" w:rsidP="00B66D3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Contain billed amounts which appear reasonable based on technical progress towards project goals </w:t>
            </w:r>
          </w:p>
          <w:p w14:paraId="2AFD1D9A" w14:textId="327ED579" w:rsidR="00B66D3F" w:rsidRPr="009E316A" w:rsidRDefault="00B66D3F" w:rsidP="00B66D3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Do not contain any unallowable charges such as alcohol, meals, postage, office supplies or other unallowable items except where specifically authorized as per the subaward agreement </w:t>
            </w:r>
          </w:p>
          <w:p w14:paraId="28D4B254" w14:textId="5201CEFB" w:rsidR="009F71AA" w:rsidRPr="009E316A" w:rsidRDefault="00B66D3F" w:rsidP="00B66D3F">
            <w:pPr>
              <w:pStyle w:val="Default"/>
              <w:numPr>
                <w:ilvl w:val="0"/>
                <w:numId w:val="27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For Final Invoices, invoices are clearly marked “FINAL” </w:t>
            </w:r>
            <w:bookmarkStart w:id="1" w:name="_Hlk22208882"/>
            <w:r w:rsidRPr="009E316A">
              <w:rPr>
                <w:color w:val="auto"/>
                <w:sz w:val="20"/>
                <w:szCs w:val="20"/>
              </w:rPr>
              <w:t xml:space="preserve">and </w:t>
            </w:r>
            <w:bookmarkEnd w:id="1"/>
            <w:r w:rsidR="00860C90" w:rsidRPr="009E316A">
              <w:rPr>
                <w:color w:val="auto"/>
                <w:sz w:val="20"/>
                <w:szCs w:val="20"/>
              </w:rPr>
              <w:t>accompanied by the Subaward Closeout Form.</w:t>
            </w:r>
          </w:p>
          <w:p w14:paraId="56A9D128" w14:textId="37A61A39" w:rsidR="007609F9" w:rsidRPr="009E316A" w:rsidRDefault="007609F9" w:rsidP="007609F9">
            <w:pPr>
              <w:pStyle w:val="Default"/>
              <w:rPr>
                <w:color w:val="auto"/>
                <w:sz w:val="20"/>
                <w:szCs w:val="20"/>
              </w:rPr>
            </w:pPr>
            <w:r w:rsidRPr="009E316A">
              <w:rPr>
                <w:rFonts w:eastAsia="Times New Roman"/>
                <w:color w:val="auto"/>
                <w:sz w:val="20"/>
                <w:szCs w:val="20"/>
              </w:rPr>
              <w:t>Note: A subrecipient invoice will not be approved for payment until all errors, discrepancies, or questionable items have been adequately and fully resolved.</w:t>
            </w:r>
          </w:p>
        </w:tc>
      </w:tr>
      <w:tr w:rsidR="009F71AA" w:rsidRPr="0019192A" w14:paraId="076C0DA6" w14:textId="77777777" w:rsidTr="0019192A">
        <w:tc>
          <w:tcPr>
            <w:tcW w:w="1255" w:type="dxa"/>
            <w:shd w:val="clear" w:color="auto" w:fill="FFC000"/>
          </w:tcPr>
          <w:p w14:paraId="169A1FB4" w14:textId="5D4D8289" w:rsidR="009F71AA" w:rsidRPr="0019192A" w:rsidRDefault="009F71AA" w:rsidP="00CA01B7">
            <w:pPr>
              <w:pStyle w:val="ListParagraph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M</w:t>
            </w:r>
            <w:r w:rsidR="003C15B9"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oderate</w:t>
            </w:r>
            <w:r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Risk</w:t>
            </w:r>
          </w:p>
        </w:tc>
        <w:tc>
          <w:tcPr>
            <w:tcW w:w="8095" w:type="dxa"/>
          </w:tcPr>
          <w:p w14:paraId="1469D7CD" w14:textId="5F9F2921" w:rsidR="006B593B" w:rsidRPr="009E316A" w:rsidRDefault="006B593B" w:rsidP="006B593B">
            <w:pPr>
              <w:pStyle w:val="Default"/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Incorporate additional requirements </w:t>
            </w:r>
            <w:r w:rsidR="00746D1A" w:rsidRPr="009E316A">
              <w:rPr>
                <w:color w:val="auto"/>
                <w:sz w:val="20"/>
                <w:szCs w:val="20"/>
              </w:rPr>
              <w:t>dependent</w:t>
            </w:r>
            <w:r w:rsidRPr="009E316A">
              <w:rPr>
                <w:color w:val="auto"/>
                <w:sz w:val="20"/>
                <w:szCs w:val="20"/>
              </w:rPr>
              <w:t xml:space="preserve"> on UD management decision:</w:t>
            </w:r>
          </w:p>
          <w:p w14:paraId="061B0BA2" w14:textId="5C21B6AC" w:rsidR="006B593B" w:rsidRPr="009E316A" w:rsidRDefault="006B593B" w:rsidP="006B593B">
            <w:pPr>
              <w:pStyle w:val="Default"/>
              <w:numPr>
                <w:ilvl w:val="0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Required copies of supporting/backup documentation for subaward invoice charges such as: </w:t>
            </w:r>
          </w:p>
          <w:p w14:paraId="569A0B29" w14:textId="77777777" w:rsidR="006B593B" w:rsidRPr="009E316A" w:rsidRDefault="006B593B" w:rsidP="006B593B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Payroll records to support invoice personnel charges </w:t>
            </w:r>
          </w:p>
          <w:p w14:paraId="6EAAFE68" w14:textId="2B9BFF7F" w:rsidR="006B593B" w:rsidRPr="009E316A" w:rsidRDefault="006B593B" w:rsidP="006B593B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Copies of receipts for specific charges </w:t>
            </w:r>
            <w:r w:rsidR="00860C90" w:rsidRPr="009E316A">
              <w:rPr>
                <w:color w:val="auto"/>
                <w:sz w:val="20"/>
                <w:szCs w:val="20"/>
              </w:rPr>
              <w:t>(travel, supplies, equipment, etc.)</w:t>
            </w:r>
          </w:p>
          <w:p w14:paraId="30EEC5CE" w14:textId="3D8CCD6A" w:rsidR="006B593B" w:rsidRPr="009E316A" w:rsidRDefault="006B593B" w:rsidP="006B593B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Copies of consultant hourly rates and time charged </w:t>
            </w:r>
          </w:p>
          <w:p w14:paraId="5DB1235D" w14:textId="7175E0E1" w:rsidR="00860C90" w:rsidRPr="009E316A" w:rsidRDefault="00860C90" w:rsidP="006B593B">
            <w:pPr>
              <w:pStyle w:val="Default"/>
              <w:numPr>
                <w:ilvl w:val="1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>Transactional detail from the subrecipient’s accounting system of record</w:t>
            </w:r>
          </w:p>
          <w:p w14:paraId="2DA1F7E2" w14:textId="77777777" w:rsidR="009F71AA" w:rsidRPr="009E316A" w:rsidRDefault="006B593B" w:rsidP="006B593B">
            <w:pPr>
              <w:pStyle w:val="Default"/>
              <w:numPr>
                <w:ilvl w:val="0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More frequent submission of subrecipient invoices and technical reports </w:t>
            </w:r>
          </w:p>
          <w:p w14:paraId="31BEFFE7" w14:textId="3AE2474D" w:rsidR="00710EF6" w:rsidRPr="009E316A" w:rsidRDefault="00710EF6" w:rsidP="00710EF6">
            <w:pPr>
              <w:pStyle w:val="Default"/>
              <w:numPr>
                <w:ilvl w:val="0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>Requirement to align subrecipient invoice payments to technical progress</w:t>
            </w:r>
          </w:p>
        </w:tc>
      </w:tr>
      <w:tr w:rsidR="009F71AA" w:rsidRPr="0019192A" w14:paraId="54EC7DE7" w14:textId="77777777" w:rsidTr="0019192A">
        <w:tc>
          <w:tcPr>
            <w:tcW w:w="1255" w:type="dxa"/>
            <w:shd w:val="clear" w:color="auto" w:fill="FF0000"/>
          </w:tcPr>
          <w:p w14:paraId="57544CC8" w14:textId="505AD7FD" w:rsidR="009F71AA" w:rsidRPr="0019192A" w:rsidRDefault="009F71AA" w:rsidP="00CA01B7">
            <w:pPr>
              <w:pStyle w:val="ListParagraph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High Risk</w:t>
            </w:r>
          </w:p>
        </w:tc>
        <w:tc>
          <w:tcPr>
            <w:tcW w:w="8095" w:type="dxa"/>
          </w:tcPr>
          <w:p w14:paraId="1118173A" w14:textId="547B7473" w:rsidR="006B593B" w:rsidRPr="009E316A" w:rsidRDefault="006B593B" w:rsidP="006B593B">
            <w:pPr>
              <w:pStyle w:val="Default"/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Incorporate additional requirements </w:t>
            </w:r>
            <w:r w:rsidR="00746D1A" w:rsidRPr="009E316A">
              <w:rPr>
                <w:color w:val="auto"/>
                <w:sz w:val="20"/>
                <w:szCs w:val="20"/>
              </w:rPr>
              <w:t>dependent</w:t>
            </w:r>
            <w:r w:rsidRPr="009E316A">
              <w:rPr>
                <w:color w:val="auto"/>
                <w:sz w:val="20"/>
                <w:szCs w:val="20"/>
              </w:rPr>
              <w:t xml:space="preserve"> on UD management decision:</w:t>
            </w:r>
          </w:p>
          <w:p w14:paraId="5A0A2BA7" w14:textId="5240FD91" w:rsidR="006B593B" w:rsidRPr="009E316A" w:rsidRDefault="006B593B" w:rsidP="006B593B">
            <w:pPr>
              <w:pStyle w:val="Default"/>
              <w:numPr>
                <w:ilvl w:val="0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Mandated regularly scheduled conference calls with the </w:t>
            </w:r>
            <w:r w:rsidR="003C15B9" w:rsidRPr="009E316A">
              <w:rPr>
                <w:color w:val="auto"/>
                <w:sz w:val="20"/>
                <w:szCs w:val="20"/>
              </w:rPr>
              <w:t xml:space="preserve">UD </w:t>
            </w:r>
            <w:r w:rsidRPr="009E316A">
              <w:rPr>
                <w:color w:val="auto"/>
                <w:sz w:val="20"/>
                <w:szCs w:val="20"/>
              </w:rPr>
              <w:t xml:space="preserve">PI and subrecipient institutional representative </w:t>
            </w:r>
          </w:p>
          <w:p w14:paraId="224C77D3" w14:textId="4785FBE1" w:rsidR="00860C90" w:rsidRPr="009E316A" w:rsidRDefault="00860C90" w:rsidP="006B593B">
            <w:pPr>
              <w:pStyle w:val="Default"/>
              <w:numPr>
                <w:ilvl w:val="0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>Financial Desk Audits</w:t>
            </w:r>
          </w:p>
          <w:p w14:paraId="58126654" w14:textId="4C066FD0" w:rsidR="009F71AA" w:rsidRPr="009E316A" w:rsidRDefault="006B593B" w:rsidP="006B593B">
            <w:pPr>
              <w:pStyle w:val="Default"/>
              <w:numPr>
                <w:ilvl w:val="0"/>
                <w:numId w:val="28"/>
              </w:numPr>
              <w:rPr>
                <w:color w:val="auto"/>
                <w:sz w:val="20"/>
                <w:szCs w:val="20"/>
              </w:rPr>
            </w:pPr>
            <w:r w:rsidRPr="009E316A">
              <w:rPr>
                <w:color w:val="auto"/>
                <w:sz w:val="20"/>
                <w:szCs w:val="20"/>
              </w:rPr>
              <w:t xml:space="preserve">Site visits, both technical and financial </w:t>
            </w:r>
          </w:p>
        </w:tc>
      </w:tr>
      <w:tr w:rsidR="00B66D3F" w:rsidRPr="0019192A" w14:paraId="636E6F6C" w14:textId="77777777" w:rsidTr="008441C1">
        <w:tc>
          <w:tcPr>
            <w:tcW w:w="9350" w:type="dxa"/>
            <w:gridSpan w:val="2"/>
            <w:shd w:val="clear" w:color="auto" w:fill="ABDBFF"/>
          </w:tcPr>
          <w:p w14:paraId="2F72D552" w14:textId="2547C9AD" w:rsidR="00B66D3F" w:rsidRPr="0019192A" w:rsidRDefault="00CC4577" w:rsidP="00CD501B">
            <w:pPr>
              <w:pStyle w:val="ListParagraph"/>
              <w:ind w:left="0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0"/>
                <w:szCs w:val="20"/>
              </w:rPr>
            </w:pPr>
            <w:r w:rsidRPr="009E31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Incremental Monitoring:</w:t>
            </w:r>
            <w:r w:rsidR="00746D1A" w:rsidRPr="009E31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622FD1" w:rsidRPr="009E316A">
              <w:rPr>
                <w:rFonts w:ascii="Arial" w:eastAsia="Times New Roman" w:hAnsi="Arial" w:cs="Arial"/>
                <w:sz w:val="20"/>
                <w:szCs w:val="20"/>
              </w:rPr>
              <w:t>Subrecipient monitoring activities increase in proportion to their assigned risk level.</w:t>
            </w:r>
            <w:r w:rsidR="00710EF6" w:rsidRPr="009E316A">
              <w:rPr>
                <w:rFonts w:ascii="Arial" w:eastAsia="Times New Roman" w:hAnsi="Arial" w:cs="Arial"/>
                <w:sz w:val="20"/>
                <w:szCs w:val="20"/>
              </w:rPr>
              <w:t xml:space="preserve"> Exact monitoring requirements will be incorporated into each subaward.</w:t>
            </w:r>
          </w:p>
        </w:tc>
      </w:tr>
    </w:tbl>
    <w:p w14:paraId="1DF911D9" w14:textId="77777777" w:rsidR="005D4555" w:rsidRPr="0019192A" w:rsidRDefault="005D4555" w:rsidP="00BA3D8F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</w:p>
    <w:p w14:paraId="1A590D21" w14:textId="77777777" w:rsidR="00712D90" w:rsidRPr="009E316A" w:rsidRDefault="00BA3D8F" w:rsidP="00712D90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It is UD’s responsibility to ensure that all agreed-upon monitoring activities occur and that the results of the risk assessment are updated accordingly. </w:t>
      </w:r>
    </w:p>
    <w:p w14:paraId="316722F2" w14:textId="560CF8A6" w:rsidR="00712D90" w:rsidRPr="009E316A" w:rsidRDefault="00CD501B" w:rsidP="00712D90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UD may adjust a subrecipient’s assigned risk level and applicable monitoring activities throughout the course of a sponsored award. </w:t>
      </w:r>
    </w:p>
    <w:p w14:paraId="716712CF" w14:textId="758FEB5D" w:rsidR="007609F9" w:rsidRPr="009E316A" w:rsidRDefault="007609F9" w:rsidP="007609F9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The PI is responsible for monitoring the technical progress of the subrecipient to ensure their performance is aligned with objectives outlined in the subaward and the prime sponsored award, including:</w:t>
      </w:r>
    </w:p>
    <w:p w14:paraId="2AA21FF8" w14:textId="20A4DDCD" w:rsidR="007609F9" w:rsidRPr="009E316A" w:rsidRDefault="007609F9" w:rsidP="007609F9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Advancing toward the completion of programmatic goals.</w:t>
      </w:r>
    </w:p>
    <w:p w14:paraId="6376E173" w14:textId="17E44119" w:rsidR="007609F9" w:rsidRPr="009E316A" w:rsidRDefault="007609F9" w:rsidP="007609F9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Submitting accurate and timely invoices and technical reports as required.</w:t>
      </w:r>
    </w:p>
    <w:p w14:paraId="2D304262" w14:textId="6559643B" w:rsidR="007B5A13" w:rsidRPr="009E316A" w:rsidRDefault="00041763" w:rsidP="00712D90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O</w:t>
      </w:r>
      <w:r w:rsidR="007B5A13" w:rsidRPr="009E316A">
        <w:rPr>
          <w:rFonts w:ascii="Arial" w:eastAsia="Times New Roman" w:hAnsi="Arial" w:cs="Arial"/>
          <w:sz w:val="20"/>
          <w:szCs w:val="20"/>
        </w:rPr>
        <w:t>ne or more of the following actions may be taken by UD</w:t>
      </w:r>
      <w:r w:rsidRPr="009E316A">
        <w:rPr>
          <w:rFonts w:ascii="Arial" w:eastAsia="Times New Roman" w:hAnsi="Arial" w:cs="Arial"/>
          <w:sz w:val="20"/>
          <w:szCs w:val="20"/>
        </w:rPr>
        <w:t xml:space="preserve"> for subrecipients deemed noncompliant as a result of subaward monitoring activities</w:t>
      </w:r>
      <w:r w:rsidR="007B5A13" w:rsidRPr="009E316A">
        <w:rPr>
          <w:rFonts w:ascii="Arial" w:eastAsia="Times New Roman" w:hAnsi="Arial" w:cs="Arial"/>
          <w:sz w:val="20"/>
          <w:szCs w:val="20"/>
        </w:rPr>
        <w:t>:</w:t>
      </w:r>
    </w:p>
    <w:p w14:paraId="2F6F6745" w14:textId="61185210" w:rsidR="007B5A13" w:rsidRPr="009E316A" w:rsidRDefault="007B5A13" w:rsidP="00712D90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Temporarily withholding cash payments pending correction of the deficiency</w:t>
      </w:r>
      <w:r w:rsidR="00041763" w:rsidRPr="009E316A">
        <w:rPr>
          <w:rFonts w:ascii="Arial" w:eastAsia="Times New Roman" w:hAnsi="Arial" w:cs="Arial"/>
          <w:sz w:val="20"/>
          <w:szCs w:val="20"/>
        </w:rPr>
        <w:t>,</w:t>
      </w:r>
    </w:p>
    <w:p w14:paraId="60644A06" w14:textId="7D1116C3" w:rsidR="007B5A13" w:rsidRPr="009E316A" w:rsidRDefault="007B5A13" w:rsidP="00712D90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Denying both use of funds and any applicable matching credit for all or part of the cost of the activity or action</w:t>
      </w:r>
      <w:r w:rsidR="00041763" w:rsidRPr="009E316A">
        <w:rPr>
          <w:rFonts w:ascii="Arial" w:eastAsia="Times New Roman" w:hAnsi="Arial" w:cs="Arial"/>
          <w:sz w:val="20"/>
          <w:szCs w:val="20"/>
        </w:rPr>
        <w:t>,</w:t>
      </w:r>
    </w:p>
    <w:p w14:paraId="0D706DD1" w14:textId="2C8B953A" w:rsidR="007B5A13" w:rsidRPr="009E316A" w:rsidRDefault="007B5A13" w:rsidP="00712D90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Wholly or partly suspending or terminating the subaward</w:t>
      </w:r>
      <w:r w:rsidR="00041763" w:rsidRPr="009E316A">
        <w:rPr>
          <w:rFonts w:ascii="Arial" w:eastAsia="Times New Roman" w:hAnsi="Arial" w:cs="Arial"/>
          <w:sz w:val="20"/>
          <w:szCs w:val="20"/>
        </w:rPr>
        <w:t>, and/or</w:t>
      </w:r>
    </w:p>
    <w:p w14:paraId="1446FEFB" w14:textId="77777777" w:rsidR="005A7BF4" w:rsidRPr="009E316A" w:rsidRDefault="007B5A13" w:rsidP="00712D90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Taking other remedies that may be legally available</w:t>
      </w:r>
      <w:r w:rsidR="00041763" w:rsidRPr="009E316A">
        <w:rPr>
          <w:rFonts w:ascii="Arial" w:eastAsia="Times New Roman" w:hAnsi="Arial" w:cs="Arial"/>
          <w:sz w:val="20"/>
          <w:szCs w:val="20"/>
        </w:rPr>
        <w:t>.</w:t>
      </w:r>
    </w:p>
    <w:p w14:paraId="49455366" w14:textId="496FCD37" w:rsidR="007B5A13" w:rsidRPr="009E316A" w:rsidRDefault="00041763" w:rsidP="00712D90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Note:</w:t>
      </w:r>
      <w:r w:rsidR="00FA009B" w:rsidRPr="009E316A">
        <w:rPr>
          <w:rFonts w:ascii="Arial" w:eastAsia="Times New Roman" w:hAnsi="Arial" w:cs="Arial"/>
          <w:sz w:val="20"/>
          <w:szCs w:val="20"/>
        </w:rPr>
        <w:t xml:space="preserve"> In most cases, n</w:t>
      </w:r>
      <w:r w:rsidRPr="009E316A">
        <w:rPr>
          <w:rFonts w:ascii="Arial" w:eastAsia="Times New Roman" w:hAnsi="Arial" w:cs="Arial"/>
          <w:sz w:val="20"/>
          <w:szCs w:val="20"/>
        </w:rPr>
        <w:t xml:space="preserve">oncompliance must be documented to </w:t>
      </w:r>
      <w:r w:rsidR="00AA2169" w:rsidRPr="009E316A">
        <w:rPr>
          <w:rFonts w:ascii="Arial" w:eastAsia="Times New Roman" w:hAnsi="Arial" w:cs="Arial"/>
          <w:sz w:val="20"/>
          <w:szCs w:val="20"/>
        </w:rPr>
        <w:t xml:space="preserve">support </w:t>
      </w:r>
      <w:r w:rsidRPr="009E316A">
        <w:rPr>
          <w:rFonts w:ascii="Arial" w:eastAsia="Times New Roman" w:hAnsi="Arial" w:cs="Arial"/>
          <w:sz w:val="20"/>
          <w:szCs w:val="20"/>
        </w:rPr>
        <w:t>above actions</w:t>
      </w:r>
      <w:r w:rsidR="005A7BF4" w:rsidRPr="009E316A">
        <w:rPr>
          <w:rFonts w:ascii="Arial" w:eastAsia="Times New Roman" w:hAnsi="Arial" w:cs="Arial"/>
          <w:sz w:val="20"/>
          <w:szCs w:val="20"/>
        </w:rPr>
        <w:t>.</w:t>
      </w:r>
    </w:p>
    <w:p w14:paraId="4FA4141F" w14:textId="77777777" w:rsidR="005A7BF4" w:rsidRPr="009E316A" w:rsidRDefault="005A7BF4" w:rsidP="005A7BF4">
      <w:pPr>
        <w:pStyle w:val="ListParagraph"/>
        <w:shd w:val="clear" w:color="auto" w:fill="FFFFFF"/>
        <w:spacing w:after="0" w:line="240" w:lineRule="auto"/>
        <w:ind w:left="216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F67B918" w14:textId="77777777" w:rsidR="007B1EEE" w:rsidRPr="009E316A" w:rsidRDefault="00290269" w:rsidP="00041763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Subaward Closeout and Termination</w:t>
      </w:r>
    </w:p>
    <w:p w14:paraId="0B8194D4" w14:textId="77777777" w:rsidR="007B1EEE" w:rsidRPr="009E316A" w:rsidRDefault="007B1EEE" w:rsidP="007B1EEE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724A4D3" w14:textId="68EE918A" w:rsidR="00D22352" w:rsidRPr="009E316A" w:rsidRDefault="007B1EEE" w:rsidP="007B1EEE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Normal closeout and termination of a subaward occurs</w:t>
      </w:r>
      <w:r w:rsidR="00AA2169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Pr="009E316A">
        <w:rPr>
          <w:rFonts w:ascii="Arial" w:eastAsia="Times New Roman" w:hAnsi="Arial" w:cs="Arial"/>
          <w:sz w:val="20"/>
          <w:szCs w:val="20"/>
        </w:rPr>
        <w:t>upon expiration of the subaward period of performance.</w:t>
      </w:r>
      <w:r w:rsidR="00742A36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C0479C" w:rsidRPr="009E316A">
        <w:rPr>
          <w:rFonts w:ascii="Arial" w:eastAsia="Times New Roman" w:hAnsi="Arial" w:cs="Arial"/>
          <w:sz w:val="20"/>
          <w:szCs w:val="20"/>
        </w:rPr>
        <w:t>Action should be taken to complete</w:t>
      </w:r>
      <w:r w:rsidR="00860C90" w:rsidRPr="009E316A">
        <w:rPr>
          <w:rFonts w:ascii="Arial" w:eastAsia="Times New Roman" w:hAnsi="Arial" w:cs="Arial"/>
          <w:sz w:val="20"/>
          <w:szCs w:val="20"/>
        </w:rPr>
        <w:t xml:space="preserve"> key activities in a</w:t>
      </w:r>
      <w:r w:rsidR="00C0479C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860C90" w:rsidRPr="009E316A">
        <w:rPr>
          <w:rFonts w:ascii="Arial" w:eastAsia="Times New Roman" w:hAnsi="Arial" w:cs="Arial"/>
          <w:sz w:val="20"/>
          <w:szCs w:val="20"/>
        </w:rPr>
        <w:t>timely manner</w:t>
      </w:r>
      <w:r w:rsidR="00742A36" w:rsidRPr="009E316A">
        <w:rPr>
          <w:rFonts w:ascii="Arial" w:eastAsia="Times New Roman" w:hAnsi="Arial" w:cs="Arial"/>
          <w:sz w:val="20"/>
          <w:szCs w:val="20"/>
        </w:rPr>
        <w:t>, including:</w:t>
      </w:r>
    </w:p>
    <w:p w14:paraId="51FA0016" w14:textId="6D4EF9A4" w:rsidR="003A56F2" w:rsidRPr="009E316A" w:rsidRDefault="001338F7" w:rsidP="00742A36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Confirmation by the UD PI </w:t>
      </w:r>
      <w:r w:rsidR="003A56F2" w:rsidRPr="009E316A">
        <w:rPr>
          <w:rFonts w:ascii="Arial" w:eastAsia="Times New Roman" w:hAnsi="Arial" w:cs="Arial"/>
          <w:sz w:val="20"/>
          <w:szCs w:val="20"/>
        </w:rPr>
        <w:t>that all subaward deliverables have been met.</w:t>
      </w:r>
    </w:p>
    <w:p w14:paraId="37CFC264" w14:textId="25CB7971" w:rsidR="00742A36" w:rsidRPr="009E316A" w:rsidRDefault="00AA2169" w:rsidP="00742A36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UD r</w:t>
      </w:r>
      <w:r w:rsidR="00742A36" w:rsidRPr="009E316A">
        <w:rPr>
          <w:rFonts w:ascii="Arial" w:eastAsia="Times New Roman" w:hAnsi="Arial" w:cs="Arial"/>
          <w:sz w:val="20"/>
          <w:szCs w:val="20"/>
        </w:rPr>
        <w:t xml:space="preserve">eceipt of </w:t>
      </w:r>
      <w:r w:rsidR="006F18B1" w:rsidRPr="009E316A">
        <w:rPr>
          <w:rFonts w:ascii="Arial" w:eastAsia="Times New Roman" w:hAnsi="Arial" w:cs="Arial"/>
          <w:sz w:val="20"/>
          <w:szCs w:val="20"/>
        </w:rPr>
        <w:t>a</w:t>
      </w:r>
      <w:r w:rsidR="00742A36" w:rsidRPr="009E316A">
        <w:rPr>
          <w:rFonts w:ascii="Arial" w:eastAsia="Times New Roman" w:hAnsi="Arial" w:cs="Arial"/>
          <w:sz w:val="20"/>
          <w:szCs w:val="20"/>
        </w:rPr>
        <w:t xml:space="preserve"> </w:t>
      </w:r>
      <w:r w:rsidR="001B0E36" w:rsidRPr="009E316A">
        <w:rPr>
          <w:rFonts w:ascii="Arial" w:eastAsia="Times New Roman" w:hAnsi="Arial" w:cs="Arial"/>
          <w:sz w:val="20"/>
          <w:szCs w:val="20"/>
        </w:rPr>
        <w:t xml:space="preserve">final </w:t>
      </w:r>
      <w:r w:rsidR="00742A36" w:rsidRPr="009E316A">
        <w:rPr>
          <w:rFonts w:ascii="Arial" w:eastAsia="Times New Roman" w:hAnsi="Arial" w:cs="Arial"/>
          <w:sz w:val="20"/>
          <w:szCs w:val="20"/>
        </w:rPr>
        <w:t xml:space="preserve">subaward invoice </w:t>
      </w:r>
      <w:r w:rsidR="001B0E36" w:rsidRPr="009E316A">
        <w:rPr>
          <w:rFonts w:ascii="Arial" w:eastAsia="Times New Roman" w:hAnsi="Arial" w:cs="Arial"/>
          <w:sz w:val="20"/>
          <w:szCs w:val="20"/>
        </w:rPr>
        <w:t>and associated closeout documents:</w:t>
      </w:r>
    </w:p>
    <w:p w14:paraId="6E2B9096" w14:textId="77777777" w:rsidR="00526312" w:rsidRPr="009E316A" w:rsidRDefault="001B0E36" w:rsidP="00933172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The final subaward invoice must be clearly marked “FINAL” with certification statement</w:t>
      </w:r>
      <w:r w:rsidR="001338F7" w:rsidRPr="009E316A">
        <w:rPr>
          <w:rFonts w:ascii="Arial" w:eastAsia="Times New Roman" w:hAnsi="Arial" w:cs="Arial"/>
          <w:sz w:val="20"/>
          <w:szCs w:val="20"/>
        </w:rPr>
        <w:t>s</w:t>
      </w:r>
      <w:r w:rsidRPr="009E316A">
        <w:rPr>
          <w:rFonts w:ascii="Arial" w:eastAsia="Times New Roman" w:hAnsi="Arial" w:cs="Arial"/>
          <w:sz w:val="20"/>
          <w:szCs w:val="20"/>
        </w:rPr>
        <w:t xml:space="preserve"> signed by the Subrecipient Institutional Officia</w:t>
      </w:r>
      <w:r w:rsidR="00860C90" w:rsidRPr="009E316A">
        <w:rPr>
          <w:rFonts w:ascii="Arial" w:eastAsia="Times New Roman" w:hAnsi="Arial" w:cs="Arial"/>
          <w:sz w:val="20"/>
          <w:szCs w:val="20"/>
        </w:rPr>
        <w:t>l</w:t>
      </w:r>
      <w:r w:rsidRPr="009E316A">
        <w:rPr>
          <w:rFonts w:ascii="Arial" w:eastAsia="Times New Roman" w:hAnsi="Arial" w:cs="Arial"/>
          <w:sz w:val="20"/>
          <w:szCs w:val="20"/>
        </w:rPr>
        <w:t>.</w:t>
      </w:r>
    </w:p>
    <w:p w14:paraId="2E862F95" w14:textId="187AD139" w:rsidR="003127CE" w:rsidRPr="009E316A" w:rsidRDefault="003127CE" w:rsidP="00933172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UD requires the subrecipient’s final invoice be accompanied by a completed “Subaward Closeout Form” </w:t>
      </w:r>
      <w:r w:rsidR="00860C90" w:rsidRPr="009E316A">
        <w:rPr>
          <w:rFonts w:ascii="Arial" w:eastAsia="Times New Roman" w:hAnsi="Arial" w:cs="Arial"/>
          <w:sz w:val="20"/>
          <w:szCs w:val="20"/>
        </w:rPr>
        <w:t xml:space="preserve">signed by </w:t>
      </w:r>
      <w:r w:rsidR="00C0479C" w:rsidRPr="009E316A">
        <w:rPr>
          <w:rFonts w:ascii="Arial" w:eastAsia="Times New Roman" w:hAnsi="Arial" w:cs="Arial"/>
          <w:sz w:val="20"/>
          <w:szCs w:val="20"/>
        </w:rPr>
        <w:t>the Subrecipient Institutional Official and the</w:t>
      </w:r>
      <w:r w:rsidR="00860C90" w:rsidRPr="009E316A">
        <w:rPr>
          <w:rFonts w:ascii="Arial" w:eastAsia="Times New Roman" w:hAnsi="Arial" w:cs="Arial"/>
          <w:sz w:val="20"/>
          <w:szCs w:val="20"/>
        </w:rPr>
        <w:t xml:space="preserve"> Subrecipient PI </w:t>
      </w:r>
      <w:r w:rsidRPr="009E316A">
        <w:rPr>
          <w:rFonts w:ascii="Arial" w:eastAsia="Times New Roman" w:hAnsi="Arial" w:cs="Arial"/>
          <w:sz w:val="20"/>
          <w:szCs w:val="20"/>
        </w:rPr>
        <w:t xml:space="preserve">prior to releasing payment. This form </w:t>
      </w:r>
      <w:r w:rsidR="0019192A" w:rsidRPr="009E316A">
        <w:rPr>
          <w:rFonts w:ascii="Arial" w:eastAsia="Times New Roman" w:hAnsi="Arial" w:cs="Arial"/>
          <w:sz w:val="20"/>
          <w:szCs w:val="20"/>
        </w:rPr>
        <w:t>contains</w:t>
      </w:r>
      <w:r w:rsidRPr="009E316A">
        <w:rPr>
          <w:rFonts w:ascii="Arial" w:eastAsia="Times New Roman" w:hAnsi="Arial" w:cs="Arial"/>
          <w:sz w:val="20"/>
          <w:szCs w:val="20"/>
        </w:rPr>
        <w:t>:</w:t>
      </w:r>
    </w:p>
    <w:p w14:paraId="61979BE3" w14:textId="382DDCA7" w:rsidR="0019192A" w:rsidRPr="009E316A" w:rsidRDefault="0019192A" w:rsidP="003127CE">
      <w:pPr>
        <w:pStyle w:val="ListParagraph"/>
        <w:numPr>
          <w:ilvl w:val="4"/>
          <w:numId w:val="22"/>
        </w:numPr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Confirmation that the subrecipient sent a final invoice to UD.</w:t>
      </w:r>
    </w:p>
    <w:p w14:paraId="65DC6454" w14:textId="73660A92" w:rsidR="0019192A" w:rsidRPr="009E316A" w:rsidRDefault="0019192A" w:rsidP="003127CE">
      <w:pPr>
        <w:pStyle w:val="ListParagraph"/>
        <w:numPr>
          <w:ilvl w:val="4"/>
          <w:numId w:val="22"/>
        </w:numPr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lastRenderedPageBreak/>
        <w:t>Confirmation of the final subaward expenditures.</w:t>
      </w:r>
    </w:p>
    <w:p w14:paraId="2CB07ED2" w14:textId="00785679" w:rsidR="0019192A" w:rsidRPr="009E316A" w:rsidRDefault="0019192A" w:rsidP="003127CE">
      <w:pPr>
        <w:pStyle w:val="ListParagraph"/>
        <w:numPr>
          <w:ilvl w:val="4"/>
          <w:numId w:val="22"/>
        </w:numPr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Amount of required cost share.</w:t>
      </w:r>
    </w:p>
    <w:p w14:paraId="323D0CA6" w14:textId="733067BC" w:rsidR="0019192A" w:rsidRPr="009E316A" w:rsidRDefault="003127CE" w:rsidP="0019192A">
      <w:pPr>
        <w:pStyle w:val="ListParagraph"/>
        <w:numPr>
          <w:ilvl w:val="4"/>
          <w:numId w:val="22"/>
        </w:numPr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Completion of all final technical</w:t>
      </w:r>
      <w:r w:rsidR="00873A9A" w:rsidRPr="009E316A">
        <w:rPr>
          <w:rFonts w:ascii="Arial" w:eastAsia="Times New Roman" w:hAnsi="Arial" w:cs="Arial"/>
          <w:sz w:val="20"/>
          <w:szCs w:val="20"/>
        </w:rPr>
        <w:t>/patent/equipment</w:t>
      </w:r>
      <w:r w:rsidRPr="009E316A">
        <w:rPr>
          <w:rFonts w:ascii="Arial" w:eastAsia="Times New Roman" w:hAnsi="Arial" w:cs="Arial"/>
          <w:sz w:val="20"/>
          <w:szCs w:val="20"/>
        </w:rPr>
        <w:t xml:space="preserve"> reports</w:t>
      </w:r>
      <w:r w:rsidR="00873A9A" w:rsidRPr="009E316A">
        <w:rPr>
          <w:rFonts w:ascii="Arial" w:eastAsia="Times New Roman" w:hAnsi="Arial" w:cs="Arial"/>
          <w:sz w:val="20"/>
          <w:szCs w:val="20"/>
        </w:rPr>
        <w:t xml:space="preserve"> and </w:t>
      </w:r>
      <w:r w:rsidR="0019192A" w:rsidRPr="009E316A">
        <w:rPr>
          <w:rFonts w:ascii="Arial" w:eastAsia="Times New Roman" w:hAnsi="Arial" w:cs="Arial"/>
          <w:sz w:val="20"/>
          <w:szCs w:val="20"/>
        </w:rPr>
        <w:t>deliverables</w:t>
      </w:r>
      <w:r w:rsidR="00873A9A" w:rsidRPr="009E316A">
        <w:rPr>
          <w:rFonts w:ascii="Arial" w:eastAsia="Times New Roman" w:hAnsi="Arial" w:cs="Arial"/>
          <w:sz w:val="20"/>
          <w:szCs w:val="20"/>
        </w:rPr>
        <w:t>.</w:t>
      </w:r>
    </w:p>
    <w:p w14:paraId="3E4DF246" w14:textId="77777777" w:rsidR="00C0479C" w:rsidRPr="009E316A" w:rsidRDefault="008674F4" w:rsidP="00C0479C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UD typically incorporates a </w:t>
      </w:r>
      <w:r w:rsidR="007609F9" w:rsidRPr="009E316A">
        <w:rPr>
          <w:rFonts w:ascii="Arial" w:eastAsia="Times New Roman" w:hAnsi="Arial" w:cs="Arial"/>
          <w:sz w:val="20"/>
          <w:szCs w:val="20"/>
        </w:rPr>
        <w:t>60-</w:t>
      </w:r>
      <w:r w:rsidRPr="009E316A">
        <w:rPr>
          <w:rFonts w:ascii="Arial" w:eastAsia="Times New Roman" w:hAnsi="Arial" w:cs="Arial"/>
          <w:sz w:val="20"/>
          <w:szCs w:val="20"/>
        </w:rPr>
        <w:t xml:space="preserve">day grace period from the subaward end date for the receipt of the subrecipient’s final invoice. </w:t>
      </w:r>
    </w:p>
    <w:p w14:paraId="7ADA36CC" w14:textId="2C5E7226" w:rsidR="008674F4" w:rsidRPr="009E316A" w:rsidRDefault="00DB148D" w:rsidP="00C0479C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If</w:t>
      </w:r>
      <w:r w:rsidR="008674F4" w:rsidRPr="009E316A">
        <w:rPr>
          <w:rFonts w:ascii="Arial" w:eastAsia="Times New Roman" w:hAnsi="Arial" w:cs="Arial"/>
          <w:sz w:val="20"/>
          <w:szCs w:val="20"/>
        </w:rPr>
        <w:t xml:space="preserve"> UD does not obtain the subrecipient’s final invoice in a timely manner, UD reserves the right to treat the last invoice received from the subrecipient as the final invoice.</w:t>
      </w:r>
    </w:p>
    <w:p w14:paraId="763A0609" w14:textId="03E4C854" w:rsidR="00FC72E7" w:rsidRPr="009E316A" w:rsidRDefault="00FC72E7" w:rsidP="00FC72E7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Closeout of the subaward purchase order via a </w:t>
      </w:r>
      <w:hyperlink r:id="rId9" w:history="1">
        <w:r w:rsidRPr="00A96D1B">
          <w:rPr>
            <w:rStyle w:val="Hyperlink"/>
            <w:rFonts w:ascii="Arial" w:eastAsia="Times New Roman" w:hAnsi="Arial" w:cs="Arial"/>
            <w:sz w:val="20"/>
            <w:szCs w:val="20"/>
          </w:rPr>
          <w:t>P</w:t>
        </w:r>
        <w:r w:rsidR="00A96D1B" w:rsidRPr="00A96D1B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urchase </w:t>
        </w:r>
        <w:r w:rsidRPr="00A96D1B">
          <w:rPr>
            <w:rStyle w:val="Hyperlink"/>
            <w:rFonts w:ascii="Arial" w:eastAsia="Times New Roman" w:hAnsi="Arial" w:cs="Arial"/>
            <w:sz w:val="20"/>
            <w:szCs w:val="20"/>
          </w:rPr>
          <w:t>O</w:t>
        </w:r>
        <w:r w:rsidR="00A96D1B" w:rsidRPr="00A96D1B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rder </w:t>
        </w:r>
        <w:r w:rsidRPr="00A96D1B">
          <w:rPr>
            <w:rStyle w:val="Hyperlink"/>
            <w:rFonts w:ascii="Arial" w:eastAsia="Times New Roman" w:hAnsi="Arial" w:cs="Arial"/>
            <w:sz w:val="20"/>
            <w:szCs w:val="20"/>
          </w:rPr>
          <w:t>Amendment Webform</w:t>
        </w:r>
      </w:hyperlink>
      <w:r w:rsidR="00A96D1B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r w:rsidRPr="009E316A">
        <w:rPr>
          <w:rFonts w:ascii="Arial" w:eastAsia="Times New Roman" w:hAnsi="Arial" w:cs="Arial"/>
          <w:sz w:val="20"/>
          <w:szCs w:val="20"/>
        </w:rPr>
        <w:t>after the final subaward invoice is paid.</w:t>
      </w:r>
    </w:p>
    <w:p w14:paraId="2CBCE1F6" w14:textId="77777777" w:rsidR="001B0E36" w:rsidRPr="009E316A" w:rsidRDefault="001B0E36" w:rsidP="001B0E36">
      <w:pPr>
        <w:pStyle w:val="ListParagraph"/>
        <w:shd w:val="clear" w:color="auto" w:fill="FFFFFF"/>
        <w:spacing w:after="0" w:line="240" w:lineRule="auto"/>
        <w:ind w:left="216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03A8FC3" w14:textId="099F3FE2" w:rsidR="001B0E36" w:rsidRPr="009E316A" w:rsidRDefault="001B0E36" w:rsidP="001B0E36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Early closeout and termination of a subaward occurs when the subaward is terminated prior to the </w:t>
      </w:r>
      <w:r w:rsidR="00205102" w:rsidRPr="009E316A">
        <w:rPr>
          <w:rFonts w:ascii="Arial" w:eastAsia="Times New Roman" w:hAnsi="Arial" w:cs="Arial"/>
          <w:sz w:val="20"/>
          <w:szCs w:val="20"/>
        </w:rPr>
        <w:t xml:space="preserve">original </w:t>
      </w:r>
      <w:r w:rsidR="00AA2169" w:rsidRPr="009E316A">
        <w:rPr>
          <w:rFonts w:ascii="Arial" w:eastAsia="Times New Roman" w:hAnsi="Arial" w:cs="Arial"/>
          <w:sz w:val="20"/>
          <w:szCs w:val="20"/>
        </w:rPr>
        <w:t xml:space="preserve">subaward </w:t>
      </w:r>
      <w:r w:rsidRPr="009E316A">
        <w:rPr>
          <w:rFonts w:ascii="Arial" w:eastAsia="Times New Roman" w:hAnsi="Arial" w:cs="Arial"/>
          <w:sz w:val="20"/>
          <w:szCs w:val="20"/>
        </w:rPr>
        <w:t xml:space="preserve">end date </w:t>
      </w:r>
      <w:r w:rsidR="00205102" w:rsidRPr="009E316A">
        <w:rPr>
          <w:rFonts w:ascii="Arial" w:eastAsia="Times New Roman" w:hAnsi="Arial" w:cs="Arial"/>
          <w:sz w:val="20"/>
          <w:szCs w:val="20"/>
        </w:rPr>
        <w:t>specified in the</w:t>
      </w:r>
      <w:r w:rsidRPr="009E316A">
        <w:rPr>
          <w:rFonts w:ascii="Arial" w:eastAsia="Times New Roman" w:hAnsi="Arial" w:cs="Arial"/>
          <w:sz w:val="20"/>
          <w:szCs w:val="20"/>
        </w:rPr>
        <w:t xml:space="preserve"> subaward agreement. </w:t>
      </w:r>
    </w:p>
    <w:p w14:paraId="79745048" w14:textId="77777777" w:rsidR="001B0E36" w:rsidRPr="009E316A" w:rsidRDefault="001B0E36" w:rsidP="001B0E36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An agreement may need to be terminated early at the request of the sponsor, UD, or by mutual agreement between UD and the subrecipient.</w:t>
      </w:r>
    </w:p>
    <w:p w14:paraId="31DE79F0" w14:textId="0CFCE666" w:rsidR="001B0E36" w:rsidRPr="009E316A" w:rsidRDefault="001B0E36" w:rsidP="001B0E36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The UD PI may consider termination due to factors related to suboptimal subrecipient performance </w:t>
      </w:r>
      <w:r w:rsidR="00AA2169" w:rsidRPr="009E316A">
        <w:rPr>
          <w:rFonts w:ascii="Arial" w:eastAsia="Times New Roman" w:hAnsi="Arial" w:cs="Arial"/>
          <w:sz w:val="20"/>
          <w:szCs w:val="20"/>
        </w:rPr>
        <w:t>towards</w:t>
      </w:r>
      <w:r w:rsidRPr="009E316A">
        <w:rPr>
          <w:rFonts w:ascii="Arial" w:eastAsia="Times New Roman" w:hAnsi="Arial" w:cs="Arial"/>
          <w:sz w:val="20"/>
          <w:szCs w:val="20"/>
        </w:rPr>
        <w:t xml:space="preserve"> project </w:t>
      </w:r>
      <w:r w:rsidR="00205102" w:rsidRPr="009E316A">
        <w:rPr>
          <w:rFonts w:ascii="Arial" w:eastAsia="Times New Roman" w:hAnsi="Arial" w:cs="Arial"/>
          <w:sz w:val="20"/>
          <w:szCs w:val="20"/>
        </w:rPr>
        <w:t xml:space="preserve">milestones, services, or </w:t>
      </w:r>
      <w:r w:rsidRPr="009E316A">
        <w:rPr>
          <w:rFonts w:ascii="Arial" w:eastAsia="Times New Roman" w:hAnsi="Arial" w:cs="Arial"/>
          <w:sz w:val="20"/>
          <w:szCs w:val="20"/>
        </w:rPr>
        <w:t>objectives</w:t>
      </w:r>
      <w:r w:rsidR="00205102" w:rsidRPr="009E316A">
        <w:rPr>
          <w:rFonts w:ascii="Arial" w:eastAsia="Times New Roman" w:hAnsi="Arial" w:cs="Arial"/>
          <w:sz w:val="20"/>
          <w:szCs w:val="20"/>
        </w:rPr>
        <w:t xml:space="preserve"> specified in the subaward agreement</w:t>
      </w:r>
      <w:r w:rsidRPr="009E316A">
        <w:rPr>
          <w:rFonts w:ascii="Arial" w:eastAsia="Times New Roman" w:hAnsi="Arial" w:cs="Arial"/>
          <w:sz w:val="20"/>
          <w:szCs w:val="20"/>
        </w:rPr>
        <w:t>.</w:t>
      </w:r>
      <w:r w:rsidR="00205102" w:rsidRPr="009E316A">
        <w:rPr>
          <w:rFonts w:ascii="Arial" w:eastAsia="Times New Roman" w:hAnsi="Arial" w:cs="Arial"/>
          <w:sz w:val="20"/>
          <w:szCs w:val="20"/>
        </w:rPr>
        <w:t xml:space="preserve"> Any UD PI contemplating early termination of a subaward should immediately contact the Subaward Team within Research Office for appropriate action.</w:t>
      </w:r>
    </w:p>
    <w:p w14:paraId="600B74DB" w14:textId="398AA47A" w:rsidR="001B0E36" w:rsidRPr="009E316A" w:rsidRDefault="001B0E36" w:rsidP="001B0E36">
      <w:pPr>
        <w:pStyle w:val="ListParagraph"/>
        <w:numPr>
          <w:ilvl w:val="2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Sponsor regulations and subaward specific terms and conditions detail the steps needed to process an early termination of a </w:t>
      </w:r>
      <w:proofErr w:type="gramStart"/>
      <w:r w:rsidRPr="009E316A">
        <w:rPr>
          <w:rFonts w:ascii="Arial" w:eastAsia="Times New Roman" w:hAnsi="Arial" w:cs="Arial"/>
          <w:sz w:val="20"/>
          <w:szCs w:val="20"/>
        </w:rPr>
        <w:t>fully-executed</w:t>
      </w:r>
      <w:proofErr w:type="gramEnd"/>
      <w:r w:rsidRPr="009E316A">
        <w:rPr>
          <w:rFonts w:ascii="Arial" w:eastAsia="Times New Roman" w:hAnsi="Arial" w:cs="Arial"/>
          <w:sz w:val="20"/>
          <w:szCs w:val="20"/>
        </w:rPr>
        <w:t xml:space="preserve"> subaward agreement.</w:t>
      </w:r>
    </w:p>
    <w:p w14:paraId="5B106DEB" w14:textId="0AD80F07" w:rsidR="00205102" w:rsidRPr="009E316A" w:rsidRDefault="00205102" w:rsidP="00205102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 xml:space="preserve">UD typically incorporates a clause into the subaward agreement outlining UD’s right to terminate a subaward within </w:t>
      </w:r>
      <w:r w:rsidR="001338F7" w:rsidRPr="009E316A">
        <w:rPr>
          <w:rFonts w:ascii="Arial" w:eastAsia="Times New Roman" w:hAnsi="Arial" w:cs="Arial"/>
          <w:sz w:val="20"/>
          <w:szCs w:val="20"/>
        </w:rPr>
        <w:t xml:space="preserve">30-days </w:t>
      </w:r>
      <w:r w:rsidRPr="009E316A">
        <w:rPr>
          <w:rFonts w:ascii="Arial" w:eastAsia="Times New Roman" w:hAnsi="Arial" w:cs="Arial"/>
          <w:sz w:val="20"/>
          <w:szCs w:val="20"/>
        </w:rPr>
        <w:t xml:space="preserve">of official written notice to the subrecipient. </w:t>
      </w:r>
    </w:p>
    <w:p w14:paraId="024B0882" w14:textId="6BB75B45" w:rsidR="00205102" w:rsidRPr="009E316A" w:rsidRDefault="00205102" w:rsidP="00205102">
      <w:pPr>
        <w:pStyle w:val="ListParagraph"/>
        <w:numPr>
          <w:ilvl w:val="4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A “Stop Work Order” is a formal notification to the subrecipient to discontinue all work on a subaward. UD will issue a “Stop Work Order” to a subrecipient in the rare instance when all other remediation</w:t>
      </w:r>
      <w:r w:rsidR="00B37887" w:rsidRPr="009E316A">
        <w:rPr>
          <w:rFonts w:ascii="Arial" w:eastAsia="Times New Roman" w:hAnsi="Arial" w:cs="Arial"/>
          <w:sz w:val="20"/>
          <w:szCs w:val="20"/>
        </w:rPr>
        <w:t xml:space="preserve"> means</w:t>
      </w:r>
      <w:r w:rsidRPr="009E316A">
        <w:rPr>
          <w:rFonts w:ascii="Arial" w:eastAsia="Times New Roman" w:hAnsi="Arial" w:cs="Arial"/>
          <w:sz w:val="20"/>
          <w:szCs w:val="20"/>
        </w:rPr>
        <w:t xml:space="preserve"> have been unsuccessful.</w:t>
      </w:r>
    </w:p>
    <w:p w14:paraId="16D4B4E3" w14:textId="0A284FB0" w:rsidR="00205102" w:rsidRPr="009E316A" w:rsidRDefault="00205102" w:rsidP="00205102">
      <w:pPr>
        <w:pStyle w:val="ListParagraph"/>
        <w:numPr>
          <w:ilvl w:val="3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The Research Office will work with the PI and their unit administration to ensure all required termination actions and documentation is completed.</w:t>
      </w:r>
    </w:p>
    <w:p w14:paraId="4785D2ED" w14:textId="77777777" w:rsidR="00712D90" w:rsidRPr="0019192A" w:rsidRDefault="00712D90" w:rsidP="00712D90">
      <w:pPr>
        <w:pStyle w:val="ListParagraph"/>
        <w:shd w:val="clear" w:color="auto" w:fill="FFFFFF"/>
        <w:spacing w:after="0" w:line="240" w:lineRule="auto"/>
        <w:ind w:left="2880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</w:p>
    <w:p w14:paraId="0E13015F" w14:textId="774080E7" w:rsidR="00712D90" w:rsidRPr="009E316A" w:rsidRDefault="00712D90" w:rsidP="00712D90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b/>
          <w:bCs/>
          <w:sz w:val="20"/>
          <w:szCs w:val="20"/>
        </w:rPr>
        <w:t>Roles and Responsibilities</w:t>
      </w:r>
    </w:p>
    <w:p w14:paraId="009E2278" w14:textId="77777777" w:rsidR="00712D90" w:rsidRPr="009E316A" w:rsidRDefault="00712D90" w:rsidP="00712D90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ACBCB3B" w14:textId="16261B19" w:rsidR="00712D90" w:rsidRPr="009E316A" w:rsidRDefault="00712D90" w:rsidP="00AA2169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9E316A">
        <w:rPr>
          <w:rFonts w:ascii="Arial" w:eastAsia="Times New Roman" w:hAnsi="Arial" w:cs="Arial"/>
          <w:sz w:val="20"/>
          <w:szCs w:val="20"/>
        </w:rPr>
        <w:t>Successful administration of subawards relies heavily on the involvement and coordination of multiple parties across campus including the UD PI, unit administration, the Research Office</w:t>
      </w:r>
      <w:r w:rsidR="008D7EF3" w:rsidRPr="009E316A">
        <w:rPr>
          <w:rFonts w:ascii="Arial" w:eastAsia="Times New Roman" w:hAnsi="Arial" w:cs="Arial"/>
          <w:sz w:val="20"/>
          <w:szCs w:val="20"/>
        </w:rPr>
        <w:t>, and others</w:t>
      </w:r>
      <w:r w:rsidRPr="009E316A">
        <w:rPr>
          <w:rFonts w:ascii="Arial" w:eastAsia="Times New Roman" w:hAnsi="Arial" w:cs="Arial"/>
          <w:sz w:val="20"/>
          <w:szCs w:val="20"/>
        </w:rPr>
        <w:t>. The table below provides an overview of applicable roles and responsibilities</w:t>
      </w:r>
      <w:r w:rsidR="00EA587B" w:rsidRPr="009E316A">
        <w:rPr>
          <w:rFonts w:ascii="Arial" w:eastAsia="Times New Roman" w:hAnsi="Arial" w:cs="Arial"/>
          <w:sz w:val="20"/>
          <w:szCs w:val="20"/>
        </w:rPr>
        <w:t xml:space="preserve"> for subawards</w:t>
      </w:r>
      <w:r w:rsidRPr="009E316A">
        <w:rPr>
          <w:rFonts w:ascii="Arial" w:eastAsia="Times New Roman" w:hAnsi="Arial" w:cs="Arial"/>
          <w:sz w:val="20"/>
          <w:szCs w:val="20"/>
        </w:rPr>
        <w:t>:</w:t>
      </w:r>
    </w:p>
    <w:p w14:paraId="0C83A550" w14:textId="5AEC0AAD" w:rsidR="00712D90" w:rsidRPr="009E316A" w:rsidRDefault="00712D90" w:rsidP="00F11A00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008" w:type="dxa"/>
        <w:tblInd w:w="612" w:type="dxa"/>
        <w:tblLayout w:type="fixed"/>
        <w:tblLook w:val="04A0" w:firstRow="1" w:lastRow="0" w:firstColumn="1" w:lastColumn="0" w:noHBand="0" w:noVBand="1"/>
      </w:tblPr>
      <w:tblGrid>
        <w:gridCol w:w="3888"/>
        <w:gridCol w:w="1170"/>
        <w:gridCol w:w="1350"/>
        <w:gridCol w:w="1152"/>
        <w:gridCol w:w="1224"/>
        <w:gridCol w:w="1224"/>
      </w:tblGrid>
      <w:tr w:rsidR="00EA587B" w:rsidRPr="0019192A" w14:paraId="419ACC3F" w14:textId="77777777" w:rsidTr="00EA587B"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A2B3B" w14:textId="77777777" w:rsidR="008D7EF3" w:rsidRPr="0019192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Subaward Management </w:t>
            </w:r>
          </w:p>
          <w:p w14:paraId="05D0B53C" w14:textId="1CCAA2F4" w:rsidR="00EA587B" w:rsidRPr="0019192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sz w:val="20"/>
                <w:szCs w:val="20"/>
              </w:rPr>
              <w:t>Policy</w:t>
            </w:r>
            <w:r w:rsidR="00260C56" w:rsidRPr="0019192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and Procedures</w:t>
            </w:r>
          </w:p>
        </w:tc>
        <w:tc>
          <w:tcPr>
            <w:tcW w:w="6120" w:type="dxa"/>
            <w:gridSpan w:val="5"/>
            <w:tcBorders>
              <w:left w:val="single" w:sz="4" w:space="0" w:color="auto"/>
            </w:tcBorders>
            <w:shd w:val="clear" w:color="auto" w:fill="0070C0"/>
            <w:vAlign w:val="center"/>
          </w:tcPr>
          <w:p w14:paraId="32C57A37" w14:textId="45C452AC" w:rsidR="00EA587B" w:rsidRPr="0019192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Responsible Party</w:t>
            </w:r>
          </w:p>
          <w:p w14:paraId="5CEE6B64" w14:textId="77777777" w:rsidR="00EA587B" w:rsidRPr="0019192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 = Primary, S = Secondary, O = Oversight, I = Input</w:t>
            </w:r>
          </w:p>
        </w:tc>
      </w:tr>
      <w:tr w:rsidR="00EA587B" w:rsidRPr="0019192A" w14:paraId="2AE9A175" w14:textId="77777777" w:rsidTr="00E8747B">
        <w:tc>
          <w:tcPr>
            <w:tcW w:w="38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A9A5C75" w14:textId="77777777" w:rsidR="00EA587B" w:rsidRPr="0019192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BDBFF"/>
            <w:vAlign w:val="center"/>
          </w:tcPr>
          <w:p w14:paraId="3ED9F0F6" w14:textId="63784343" w:rsidR="00EA587B" w:rsidRPr="0019192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sz w:val="20"/>
                <w:szCs w:val="20"/>
              </w:rPr>
              <w:t>Unit Administration</w:t>
            </w:r>
          </w:p>
        </w:tc>
        <w:tc>
          <w:tcPr>
            <w:tcW w:w="3600" w:type="dxa"/>
            <w:gridSpan w:val="3"/>
            <w:shd w:val="clear" w:color="auto" w:fill="ABDBFF"/>
            <w:vAlign w:val="center"/>
          </w:tcPr>
          <w:p w14:paraId="49FDDBE4" w14:textId="1ACBF59A" w:rsidR="00EA587B" w:rsidRPr="0019192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sz w:val="20"/>
                <w:szCs w:val="20"/>
              </w:rPr>
              <w:t>Research Office</w:t>
            </w:r>
          </w:p>
        </w:tc>
      </w:tr>
      <w:tr w:rsidR="00EA587B" w:rsidRPr="0019192A" w14:paraId="1F6F595D" w14:textId="77777777" w:rsidTr="00E8747B">
        <w:tc>
          <w:tcPr>
            <w:tcW w:w="3888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5FE3C0FF" w14:textId="77777777" w:rsidR="00EA587B" w:rsidRPr="0019192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1170" w:type="dxa"/>
            <w:shd w:val="clear" w:color="auto" w:fill="ABDBFF"/>
            <w:vAlign w:val="center"/>
          </w:tcPr>
          <w:p w14:paraId="3F6FD905" w14:textId="3AA1B07F" w:rsidR="00EA587B" w:rsidRPr="00873A9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Principal Investigator</w:t>
            </w:r>
          </w:p>
        </w:tc>
        <w:tc>
          <w:tcPr>
            <w:tcW w:w="1350" w:type="dxa"/>
            <w:shd w:val="clear" w:color="auto" w:fill="ABDBFF"/>
            <w:vAlign w:val="center"/>
          </w:tcPr>
          <w:p w14:paraId="40E55B40" w14:textId="491041E4" w:rsidR="00EA587B" w:rsidRPr="00873A9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Department/ College Administrator</w:t>
            </w:r>
          </w:p>
        </w:tc>
        <w:tc>
          <w:tcPr>
            <w:tcW w:w="1152" w:type="dxa"/>
            <w:shd w:val="clear" w:color="auto" w:fill="ABDBFF"/>
            <w:vAlign w:val="center"/>
          </w:tcPr>
          <w:p w14:paraId="29530C0D" w14:textId="0C17EABE" w:rsidR="00EA587B" w:rsidRPr="00873A9A" w:rsidRDefault="00EA587B" w:rsidP="00EA58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Contract &amp; Grants Specialist</w:t>
            </w:r>
          </w:p>
        </w:tc>
        <w:tc>
          <w:tcPr>
            <w:tcW w:w="1224" w:type="dxa"/>
            <w:shd w:val="clear" w:color="auto" w:fill="ABDBFF"/>
            <w:vAlign w:val="center"/>
          </w:tcPr>
          <w:p w14:paraId="72C55518" w14:textId="30A79D87" w:rsidR="00EA587B" w:rsidRPr="00873A9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Subaward Team</w:t>
            </w:r>
          </w:p>
        </w:tc>
        <w:tc>
          <w:tcPr>
            <w:tcW w:w="1224" w:type="dxa"/>
            <w:shd w:val="clear" w:color="auto" w:fill="ABDBFF"/>
            <w:vAlign w:val="center"/>
          </w:tcPr>
          <w:p w14:paraId="175E805E" w14:textId="0578AB96" w:rsidR="00EA587B" w:rsidRPr="00873A9A" w:rsidRDefault="00EA587B" w:rsidP="00EA587B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Post-Award Team</w:t>
            </w:r>
          </w:p>
        </w:tc>
      </w:tr>
      <w:tr w:rsidR="00B5460C" w:rsidRPr="0019192A" w14:paraId="1D96DD2E" w14:textId="77777777" w:rsidTr="00B5460C">
        <w:tc>
          <w:tcPr>
            <w:tcW w:w="3888" w:type="dxa"/>
            <w:shd w:val="clear" w:color="auto" w:fill="FFFF00"/>
            <w:vAlign w:val="center"/>
          </w:tcPr>
          <w:p w14:paraId="1AB8249D" w14:textId="4AE52B7E" w:rsidR="00B5460C" w:rsidRPr="0019192A" w:rsidRDefault="00B5460C" w:rsidP="00B5460C">
            <w:pPr>
              <w:rPr>
                <w:rFonts w:ascii="Arial" w:hAnsi="Arial" w:cs="Arial"/>
                <w:sz w:val="20"/>
                <w:szCs w:val="20"/>
              </w:rPr>
            </w:pPr>
            <w:r w:rsidRPr="0019192A">
              <w:rPr>
                <w:rFonts w:ascii="Arial" w:hAnsi="Arial" w:cs="Arial"/>
                <w:sz w:val="20"/>
                <w:szCs w:val="20"/>
              </w:rPr>
              <w:t>Proposed Subawards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256164EB" w14:textId="77777777" w:rsidR="00B5460C" w:rsidRPr="0019192A" w:rsidRDefault="00B5460C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00"/>
            <w:vAlign w:val="center"/>
          </w:tcPr>
          <w:p w14:paraId="24694298" w14:textId="77777777" w:rsidR="00B5460C" w:rsidRPr="0019192A" w:rsidRDefault="00B5460C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FFFF00"/>
            <w:vAlign w:val="center"/>
          </w:tcPr>
          <w:p w14:paraId="752C9609" w14:textId="77777777" w:rsidR="00B5460C" w:rsidRPr="0019192A" w:rsidRDefault="00B5460C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00"/>
            <w:vAlign w:val="center"/>
          </w:tcPr>
          <w:p w14:paraId="4A84C8C9" w14:textId="77777777" w:rsidR="00B5460C" w:rsidRPr="0019192A" w:rsidRDefault="00B5460C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00"/>
            <w:vAlign w:val="center"/>
          </w:tcPr>
          <w:p w14:paraId="6317A80D" w14:textId="77777777" w:rsidR="00B5460C" w:rsidRPr="0019192A" w:rsidRDefault="00B5460C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587B" w:rsidRPr="0019192A" w14:paraId="60A8D94E" w14:textId="77777777" w:rsidTr="00E8747B">
        <w:tc>
          <w:tcPr>
            <w:tcW w:w="3888" w:type="dxa"/>
            <w:shd w:val="clear" w:color="auto" w:fill="ABDBFF"/>
            <w:vAlign w:val="center"/>
          </w:tcPr>
          <w:p w14:paraId="0DC3F5A4" w14:textId="53D37E7C" w:rsidR="00EA587B" w:rsidRPr="00873A9A" w:rsidRDefault="00EA587B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hAnsi="Arial" w:cs="Arial"/>
                <w:sz w:val="18"/>
                <w:szCs w:val="18"/>
              </w:rPr>
              <w:t xml:space="preserve">Identifies the need for an external entity’s participation </w:t>
            </w:r>
            <w:r w:rsidR="00E8747B" w:rsidRPr="00873A9A">
              <w:rPr>
                <w:rFonts w:ascii="Arial" w:hAnsi="Arial" w:cs="Arial"/>
                <w:sz w:val="18"/>
                <w:szCs w:val="18"/>
              </w:rPr>
              <w:t>for</w:t>
            </w:r>
            <w:r w:rsidRPr="00873A9A">
              <w:rPr>
                <w:rFonts w:ascii="Arial" w:hAnsi="Arial" w:cs="Arial"/>
                <w:sz w:val="18"/>
                <w:szCs w:val="18"/>
              </w:rPr>
              <w:t xml:space="preserve"> a sponsored award</w:t>
            </w:r>
          </w:p>
        </w:tc>
        <w:tc>
          <w:tcPr>
            <w:tcW w:w="1170" w:type="dxa"/>
            <w:vAlign w:val="center"/>
          </w:tcPr>
          <w:p w14:paraId="31B3588A" w14:textId="4A118245" w:rsidR="00EA58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4858764E" w14:textId="1CBF77A5" w:rsidR="00EA58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554E6B57" w14:textId="7E8923F5" w:rsidR="00EA58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04BF75D1" w14:textId="146FD2B5" w:rsidR="00EA58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4017807C" w14:textId="645F0B81" w:rsidR="00EA587B" w:rsidRPr="0019192A" w:rsidRDefault="00EA58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587B" w:rsidRPr="0019192A" w14:paraId="67019FEE" w14:textId="77777777" w:rsidTr="00E8747B">
        <w:tc>
          <w:tcPr>
            <w:tcW w:w="3888" w:type="dxa"/>
            <w:shd w:val="clear" w:color="auto" w:fill="ABDBFF"/>
            <w:vAlign w:val="center"/>
          </w:tcPr>
          <w:p w14:paraId="48A57162" w14:textId="6DC3E434" w:rsidR="00EA587B" w:rsidRPr="00873A9A" w:rsidRDefault="00EA587B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Establishes and maintains </w:t>
            </w:r>
            <w:r w:rsidR="00E8747B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primary 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communication with the </w:t>
            </w:r>
            <w:r w:rsidR="00E8747B" w:rsidRPr="00873A9A">
              <w:rPr>
                <w:rFonts w:ascii="Arial" w:eastAsia="Times New Roman" w:hAnsi="Arial" w:cs="Arial"/>
                <w:sz w:val="18"/>
                <w:szCs w:val="18"/>
              </w:rPr>
              <w:t>subrecipient</w:t>
            </w:r>
          </w:p>
        </w:tc>
        <w:tc>
          <w:tcPr>
            <w:tcW w:w="1170" w:type="dxa"/>
            <w:vAlign w:val="center"/>
          </w:tcPr>
          <w:p w14:paraId="0DFB9399" w14:textId="42AB36BC" w:rsidR="00EA58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075A03A4" w14:textId="3D5F9CDE" w:rsidR="00EA58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01F04842" w14:textId="77777777" w:rsidR="00EA587B" w:rsidRPr="0019192A" w:rsidRDefault="00EA58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34A60C1" w14:textId="3C78D0D5" w:rsidR="00EA587B" w:rsidRPr="0019192A" w:rsidRDefault="00EA58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76E8C19" w14:textId="31247329" w:rsidR="00EA587B" w:rsidRPr="0019192A" w:rsidRDefault="00EA58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587B" w:rsidRPr="0019192A" w14:paraId="79804EDB" w14:textId="77777777" w:rsidTr="00E8747B">
        <w:tc>
          <w:tcPr>
            <w:tcW w:w="3888" w:type="dxa"/>
            <w:shd w:val="clear" w:color="auto" w:fill="ABDBFF"/>
            <w:vAlign w:val="center"/>
          </w:tcPr>
          <w:p w14:paraId="44614940" w14:textId="0B546F2B" w:rsidR="00EA587B" w:rsidRPr="00873A9A" w:rsidRDefault="00EE6FBE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Collects all</w:t>
            </w:r>
            <w:r w:rsidR="00EA587B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required subaward documentation </w:t>
            </w:r>
            <w:r w:rsidR="003A2330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from the subrecipient </w:t>
            </w:r>
            <w:r w:rsidR="00EA587B" w:rsidRPr="00873A9A">
              <w:rPr>
                <w:rFonts w:ascii="Arial" w:eastAsia="Times New Roman" w:hAnsi="Arial" w:cs="Arial"/>
                <w:sz w:val="18"/>
                <w:szCs w:val="18"/>
              </w:rPr>
              <w:t>(SOW, budget,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A2330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budget justification, 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compliance info,</w:t>
            </w:r>
            <w:r w:rsidR="00EA587B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etc.)</w:t>
            </w:r>
          </w:p>
        </w:tc>
        <w:tc>
          <w:tcPr>
            <w:tcW w:w="1170" w:type="dxa"/>
            <w:vAlign w:val="center"/>
          </w:tcPr>
          <w:p w14:paraId="6343E348" w14:textId="6E35649D" w:rsidR="00EA58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3E73227D" w14:textId="1161C98F" w:rsidR="00EA58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71A43EC2" w14:textId="6F7E236D" w:rsidR="00EA58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61FEED60" w14:textId="1391A5FB" w:rsidR="00EA587B" w:rsidRPr="0019192A" w:rsidRDefault="00EA58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BE55F29" w14:textId="3D42EB39" w:rsidR="00EA587B" w:rsidRPr="0019192A" w:rsidRDefault="00EA58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1F90" w:rsidRPr="0019192A" w14:paraId="191A8407" w14:textId="77777777" w:rsidTr="00E8747B">
        <w:tc>
          <w:tcPr>
            <w:tcW w:w="3888" w:type="dxa"/>
            <w:shd w:val="clear" w:color="auto" w:fill="ABDBFF"/>
            <w:vAlign w:val="center"/>
          </w:tcPr>
          <w:p w14:paraId="09A7164D" w14:textId="47D89FEE" w:rsidR="00C61F90" w:rsidRPr="00873A9A" w:rsidRDefault="00C61F90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Completes the Provider Category Determination Worksheet to categorize </w:t>
            </w:r>
            <w:r w:rsidR="00E8747B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the external 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entity</w:t>
            </w:r>
            <w:r w:rsidR="00E8747B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as a subrecipient or contractor</w:t>
            </w:r>
          </w:p>
        </w:tc>
        <w:tc>
          <w:tcPr>
            <w:tcW w:w="1170" w:type="dxa"/>
            <w:vAlign w:val="center"/>
          </w:tcPr>
          <w:p w14:paraId="6A0F3899" w14:textId="55995B5C" w:rsidR="00C61F9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64FB415D" w14:textId="68F711CD" w:rsidR="00C61F90" w:rsidRPr="0019192A" w:rsidRDefault="00C61F90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16076953" w14:textId="7752B5B4" w:rsidR="00C61F9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35605524" w14:textId="3B11C010" w:rsidR="00C61F9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4BAF2490" w14:textId="77777777" w:rsidR="00C61F90" w:rsidRPr="0019192A" w:rsidRDefault="00C61F90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747B" w:rsidRPr="0019192A" w14:paraId="3565D58B" w14:textId="77777777" w:rsidTr="00E8747B">
        <w:tc>
          <w:tcPr>
            <w:tcW w:w="3888" w:type="dxa"/>
            <w:shd w:val="clear" w:color="auto" w:fill="ABDBFF"/>
            <w:vAlign w:val="center"/>
          </w:tcPr>
          <w:p w14:paraId="17A05E91" w14:textId="46A902DC" w:rsidR="00E8747B" w:rsidRPr="00873A9A" w:rsidRDefault="00E8747B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Confirms alignment of the subrecipient’s scope of work with prime award objectives</w:t>
            </w:r>
          </w:p>
        </w:tc>
        <w:tc>
          <w:tcPr>
            <w:tcW w:w="1170" w:type="dxa"/>
            <w:vAlign w:val="center"/>
          </w:tcPr>
          <w:p w14:paraId="7E589DBD" w14:textId="33020173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28A85D4A" w14:textId="6EFE783C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5E0F9CA6" w14:textId="33577F5F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17F9720F" w14:textId="77777777" w:rsidR="00E8747B" w:rsidRPr="0019192A" w:rsidRDefault="00E874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799768D" w14:textId="77777777" w:rsidR="00E8747B" w:rsidRPr="0019192A" w:rsidRDefault="00E874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747B" w:rsidRPr="0019192A" w14:paraId="0ADA8945" w14:textId="77777777" w:rsidTr="00E8747B">
        <w:tc>
          <w:tcPr>
            <w:tcW w:w="3888" w:type="dxa"/>
            <w:shd w:val="clear" w:color="auto" w:fill="ABDBFF"/>
            <w:vAlign w:val="center"/>
          </w:tcPr>
          <w:p w14:paraId="47E48334" w14:textId="170696BF" w:rsidR="00E8747B" w:rsidRPr="00873A9A" w:rsidRDefault="00E8747B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Verifies appropriateness and accuracy of the budget proposed by the subrecipient</w:t>
            </w:r>
          </w:p>
        </w:tc>
        <w:tc>
          <w:tcPr>
            <w:tcW w:w="1170" w:type="dxa"/>
            <w:vAlign w:val="center"/>
          </w:tcPr>
          <w:p w14:paraId="248A4207" w14:textId="3EBE36CE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6713BBBD" w14:textId="224947C4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7B164083" w14:textId="7052F641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1FB5CF4A" w14:textId="77777777" w:rsidR="00E8747B" w:rsidRPr="0019192A" w:rsidRDefault="00E874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CDDFA5D" w14:textId="77777777" w:rsidR="00E8747B" w:rsidRPr="0019192A" w:rsidRDefault="00E874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747B" w:rsidRPr="0019192A" w14:paraId="6186A639" w14:textId="77777777" w:rsidTr="00E8747B">
        <w:tc>
          <w:tcPr>
            <w:tcW w:w="3888" w:type="dxa"/>
            <w:shd w:val="clear" w:color="auto" w:fill="ABDBFF"/>
            <w:vAlign w:val="center"/>
          </w:tcPr>
          <w:p w14:paraId="1984422D" w14:textId="77777777" w:rsidR="00E8747B" w:rsidRPr="00873A9A" w:rsidRDefault="00E8747B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Verifies Conflict of Interest status between the subrecipient and UD key personnel</w:t>
            </w:r>
          </w:p>
        </w:tc>
        <w:tc>
          <w:tcPr>
            <w:tcW w:w="1170" w:type="dxa"/>
            <w:vAlign w:val="center"/>
          </w:tcPr>
          <w:p w14:paraId="01EB6EAD" w14:textId="39BE0377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40018A69" w14:textId="4997BCC7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1627B464" w14:textId="5D32023F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0C402D6F" w14:textId="77777777" w:rsidR="00E8747B" w:rsidRPr="0019192A" w:rsidRDefault="00E874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51BAB48" w14:textId="77777777" w:rsidR="00E8747B" w:rsidRPr="0019192A" w:rsidRDefault="00E874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747B" w:rsidRPr="0019192A" w14:paraId="0454DF7F" w14:textId="77777777" w:rsidTr="00E8747B">
        <w:tc>
          <w:tcPr>
            <w:tcW w:w="3888" w:type="dxa"/>
            <w:shd w:val="clear" w:color="auto" w:fill="ABDBFF"/>
            <w:vAlign w:val="center"/>
          </w:tcPr>
          <w:p w14:paraId="2F277ADA" w14:textId="444DD794" w:rsidR="00E8747B" w:rsidRPr="00873A9A" w:rsidRDefault="00E8747B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Reviews and submits subawards for proposals and prior approvals to the sponsor</w:t>
            </w:r>
          </w:p>
        </w:tc>
        <w:tc>
          <w:tcPr>
            <w:tcW w:w="1170" w:type="dxa"/>
            <w:vAlign w:val="center"/>
          </w:tcPr>
          <w:p w14:paraId="18A0DC6F" w14:textId="0B45EFA4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350" w:type="dxa"/>
            <w:vAlign w:val="center"/>
          </w:tcPr>
          <w:p w14:paraId="6E353CA1" w14:textId="58C150CF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0B63D012" w14:textId="628D1090" w:rsidR="00E8747B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0F320574" w14:textId="77777777" w:rsidR="00E8747B" w:rsidRPr="0019192A" w:rsidRDefault="00E874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D07EE7D" w14:textId="77777777" w:rsidR="00E8747B" w:rsidRPr="0019192A" w:rsidRDefault="00E8747B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1A319DA8" w14:textId="77777777" w:rsidTr="00B5460C">
        <w:tc>
          <w:tcPr>
            <w:tcW w:w="10008" w:type="dxa"/>
            <w:gridSpan w:val="6"/>
            <w:shd w:val="clear" w:color="auto" w:fill="FFFF00"/>
            <w:vAlign w:val="center"/>
          </w:tcPr>
          <w:p w14:paraId="5CFE1327" w14:textId="7C6C169A" w:rsidR="00B5460C" w:rsidRPr="0019192A" w:rsidRDefault="00B5460C" w:rsidP="00B546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sz w:val="20"/>
                <w:szCs w:val="20"/>
              </w:rPr>
              <w:t>Subaward Issuance and Modifications</w:t>
            </w:r>
          </w:p>
        </w:tc>
      </w:tr>
      <w:tr w:rsidR="003A2330" w:rsidRPr="0019192A" w14:paraId="31057BA1" w14:textId="77777777" w:rsidTr="00E8747B">
        <w:tc>
          <w:tcPr>
            <w:tcW w:w="3888" w:type="dxa"/>
            <w:shd w:val="clear" w:color="auto" w:fill="ABDBFF"/>
            <w:vAlign w:val="center"/>
          </w:tcPr>
          <w:p w14:paraId="1C0CFFE5" w14:textId="1C2F6E17" w:rsidR="003A2330" w:rsidRPr="00873A9A" w:rsidRDefault="003A2330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Ensures Research Office receipt of all required information for subaward issuance</w:t>
            </w:r>
            <w:r w:rsidR="00873A9A">
              <w:rPr>
                <w:rFonts w:ascii="Arial" w:eastAsia="Times New Roman" w:hAnsi="Arial" w:cs="Arial"/>
                <w:sz w:val="18"/>
                <w:szCs w:val="18"/>
              </w:rPr>
              <w:t>/modification</w:t>
            </w:r>
          </w:p>
        </w:tc>
        <w:tc>
          <w:tcPr>
            <w:tcW w:w="1170" w:type="dxa"/>
            <w:vAlign w:val="center"/>
          </w:tcPr>
          <w:p w14:paraId="39C1C03F" w14:textId="15072346" w:rsidR="003A233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350" w:type="dxa"/>
            <w:vAlign w:val="center"/>
          </w:tcPr>
          <w:p w14:paraId="58F8F25F" w14:textId="4DE0ECDA" w:rsidR="003A233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152" w:type="dxa"/>
            <w:vAlign w:val="center"/>
          </w:tcPr>
          <w:p w14:paraId="61771D45" w14:textId="48EB386B" w:rsidR="003A233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31AADC73" w14:textId="02E036D1" w:rsidR="003A233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02D7EF57" w14:textId="77777777" w:rsidR="003A2330" w:rsidRPr="0019192A" w:rsidRDefault="003A2330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4F0A" w:rsidRPr="0019192A" w14:paraId="0DEEF558" w14:textId="77777777" w:rsidTr="00FC72E7">
        <w:tc>
          <w:tcPr>
            <w:tcW w:w="3888" w:type="dxa"/>
            <w:shd w:val="clear" w:color="auto" w:fill="ABDBFF"/>
            <w:vAlign w:val="center"/>
          </w:tcPr>
          <w:p w14:paraId="21601744" w14:textId="77777777" w:rsidR="00434F0A" w:rsidRDefault="00434F0A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Prepares, negotiates, and executes new subawards and modifications</w:t>
            </w:r>
          </w:p>
        </w:tc>
        <w:tc>
          <w:tcPr>
            <w:tcW w:w="1170" w:type="dxa"/>
            <w:vAlign w:val="center"/>
          </w:tcPr>
          <w:p w14:paraId="7E695DF9" w14:textId="5917E84C" w:rsidR="000D7129" w:rsidRPr="000D7129" w:rsidRDefault="000D7129" w:rsidP="008D751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vAlign w:val="center"/>
          </w:tcPr>
          <w:p w14:paraId="2B47043B" w14:textId="52EE5D9D" w:rsidR="00434F0A" w:rsidRPr="0019192A" w:rsidRDefault="000D712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152" w:type="dxa"/>
            <w:vAlign w:val="center"/>
          </w:tcPr>
          <w:p w14:paraId="5E7A1F21" w14:textId="18B78176" w:rsidR="00434F0A" w:rsidRPr="0019192A" w:rsidRDefault="000D712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0E090AB6" w14:textId="6EA3B083" w:rsidR="00434F0A" w:rsidRPr="0019192A" w:rsidRDefault="000D712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0BEC93CE" w14:textId="77777777" w:rsidR="00434F0A" w:rsidRPr="0019192A" w:rsidRDefault="00434F0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2330" w:rsidRPr="0019192A" w14:paraId="53316963" w14:textId="77777777" w:rsidTr="00E8747B">
        <w:tc>
          <w:tcPr>
            <w:tcW w:w="3888" w:type="dxa"/>
            <w:shd w:val="clear" w:color="auto" w:fill="ABDBFF"/>
            <w:vAlign w:val="center"/>
          </w:tcPr>
          <w:p w14:paraId="353A7A3E" w14:textId="3967B600" w:rsidR="003A2330" w:rsidRPr="00873A9A" w:rsidRDefault="003A2330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Makes a final determination for UD’s substantive relationship with the external entity as that of a subrecipient or contractor</w:t>
            </w:r>
          </w:p>
        </w:tc>
        <w:tc>
          <w:tcPr>
            <w:tcW w:w="1170" w:type="dxa"/>
            <w:vAlign w:val="center"/>
          </w:tcPr>
          <w:p w14:paraId="1F70788A" w14:textId="0893A6EB" w:rsidR="003A2330" w:rsidRPr="0019192A" w:rsidRDefault="003A2330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8CCFBB5" w14:textId="2F6D20E4" w:rsidR="003A2330" w:rsidRPr="0019192A" w:rsidRDefault="003A2330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2AE123B9" w14:textId="5EAD0A33" w:rsidR="003A2330" w:rsidRPr="0019192A" w:rsidRDefault="003A2330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A24494D" w14:textId="596F5CCB" w:rsidR="003A233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7D1CC152" w14:textId="77777777" w:rsidR="003A2330" w:rsidRPr="0019192A" w:rsidRDefault="003A2330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1F90" w:rsidRPr="0019192A" w14:paraId="54C580F4" w14:textId="77777777" w:rsidTr="00E8747B">
        <w:tc>
          <w:tcPr>
            <w:tcW w:w="3888" w:type="dxa"/>
            <w:shd w:val="clear" w:color="auto" w:fill="ABDBFF"/>
            <w:vAlign w:val="center"/>
          </w:tcPr>
          <w:p w14:paraId="55B96B13" w14:textId="7B43716B" w:rsidR="00C61F90" w:rsidRPr="00873A9A" w:rsidRDefault="00C61F90" w:rsidP="00E874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Reviews</w:t>
            </w:r>
            <w:r w:rsidR="003A2330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appropriateness of the subaward budget including the applicable F&amp;A rate</w:t>
            </w:r>
          </w:p>
        </w:tc>
        <w:tc>
          <w:tcPr>
            <w:tcW w:w="1170" w:type="dxa"/>
            <w:vAlign w:val="center"/>
          </w:tcPr>
          <w:p w14:paraId="454D90B1" w14:textId="65CA2C4C" w:rsidR="00C61F9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vAlign w:val="center"/>
          </w:tcPr>
          <w:p w14:paraId="4BB4B981" w14:textId="1E05F664" w:rsidR="00C61F9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6F3D7695" w14:textId="2047CA3D" w:rsidR="00C61F90" w:rsidRPr="0019192A" w:rsidRDefault="000D7129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23FB2179" w14:textId="3AA496FD" w:rsidR="00C61F90" w:rsidRPr="0019192A" w:rsidRDefault="00C61F90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43FF5CC" w14:textId="77777777" w:rsidR="00C61F90" w:rsidRPr="0019192A" w:rsidRDefault="00C61F90" w:rsidP="00E874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747B" w:rsidRPr="0019192A" w14:paraId="0B5F6969" w14:textId="77777777" w:rsidTr="00E8747B">
        <w:tc>
          <w:tcPr>
            <w:tcW w:w="3888" w:type="dxa"/>
            <w:shd w:val="clear" w:color="auto" w:fill="ABDBFF"/>
            <w:vAlign w:val="center"/>
          </w:tcPr>
          <w:p w14:paraId="476AD0E1" w14:textId="77777777" w:rsidR="00E8747B" w:rsidRPr="00873A9A" w:rsidRDefault="00E8747B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Determines the appropriate type of subaward agreement in coordination with Procurement</w:t>
            </w:r>
          </w:p>
        </w:tc>
        <w:tc>
          <w:tcPr>
            <w:tcW w:w="1170" w:type="dxa"/>
            <w:vAlign w:val="center"/>
          </w:tcPr>
          <w:p w14:paraId="67DC2612" w14:textId="6C452763" w:rsidR="00E8747B" w:rsidRPr="0019192A" w:rsidRDefault="000D712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vAlign w:val="center"/>
          </w:tcPr>
          <w:p w14:paraId="03AD74AF" w14:textId="520D88C7" w:rsidR="00E8747B" w:rsidRPr="0019192A" w:rsidRDefault="000D712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152" w:type="dxa"/>
            <w:vAlign w:val="center"/>
          </w:tcPr>
          <w:p w14:paraId="3061FF85" w14:textId="1193115B" w:rsidR="00E8747B" w:rsidRPr="0019192A" w:rsidRDefault="000D712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224" w:type="dxa"/>
            <w:vAlign w:val="center"/>
          </w:tcPr>
          <w:p w14:paraId="3A944FA8" w14:textId="25D5AE79" w:rsidR="00E8747B" w:rsidRPr="0019192A" w:rsidRDefault="000D712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66C0BEAA" w14:textId="77777777" w:rsidR="00E8747B" w:rsidRPr="0019192A" w:rsidRDefault="00E8747B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D18" w:rsidRPr="0019192A" w14:paraId="7BE0F331" w14:textId="77777777" w:rsidTr="00E8747B">
        <w:tc>
          <w:tcPr>
            <w:tcW w:w="3888" w:type="dxa"/>
            <w:shd w:val="clear" w:color="auto" w:fill="ABDBFF"/>
            <w:vAlign w:val="center"/>
          </w:tcPr>
          <w:p w14:paraId="5254CC0F" w14:textId="198FB1CF" w:rsidR="000A1D18" w:rsidRPr="00873A9A" w:rsidRDefault="000A1D18" w:rsidP="00EA58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Initiates </w:t>
            </w:r>
            <w:r w:rsidR="00873A9A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Subaward Purchase Order </w:t>
            </w:r>
            <w:r w:rsidR="00873A9A">
              <w:rPr>
                <w:rFonts w:ascii="Arial" w:eastAsia="Times New Roman" w:hAnsi="Arial" w:cs="Arial"/>
                <w:sz w:val="18"/>
                <w:szCs w:val="18"/>
              </w:rPr>
              <w:t>(PO)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73A9A">
              <w:rPr>
                <w:rFonts w:ascii="Arial" w:eastAsia="Times New Roman" w:hAnsi="Arial" w:cs="Arial"/>
                <w:sz w:val="18"/>
                <w:szCs w:val="18"/>
              </w:rPr>
              <w:t xml:space="preserve">requisition/amendment via </w:t>
            </w:r>
            <w:r w:rsidR="004D708D" w:rsidRPr="00873A9A">
              <w:rPr>
                <w:rFonts w:ascii="Arial" w:eastAsia="Times New Roman" w:hAnsi="Arial" w:cs="Arial"/>
                <w:sz w:val="18"/>
                <w:szCs w:val="18"/>
              </w:rPr>
              <w:t>w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ebform</w:t>
            </w:r>
            <w:r w:rsidR="004D708D" w:rsidRPr="00873A9A">
              <w:rPr>
                <w:rFonts w:ascii="Arial" w:eastAsia="Times New Roman" w:hAnsi="Arial" w:cs="Arial"/>
                <w:sz w:val="18"/>
                <w:szCs w:val="18"/>
              </w:rPr>
              <w:t>s</w:t>
            </w:r>
          </w:p>
        </w:tc>
        <w:tc>
          <w:tcPr>
            <w:tcW w:w="1170" w:type="dxa"/>
            <w:vAlign w:val="center"/>
          </w:tcPr>
          <w:p w14:paraId="1A254B2C" w14:textId="77777777" w:rsidR="000A1D18" w:rsidRPr="0019192A" w:rsidRDefault="000A1D18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3C183CB" w14:textId="3447BC8B" w:rsidR="000A1D18" w:rsidRPr="0019192A" w:rsidRDefault="00A173B6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152" w:type="dxa"/>
            <w:vAlign w:val="center"/>
          </w:tcPr>
          <w:p w14:paraId="51E9CE0C" w14:textId="45A41516" w:rsidR="000A1D18" w:rsidRPr="0019192A" w:rsidRDefault="002665B9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11929142" w14:textId="6717FDA8" w:rsidR="000A1D18" w:rsidRPr="0019192A" w:rsidRDefault="00A173B6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3EDB3DDC" w14:textId="77777777" w:rsidR="000A1D18" w:rsidRPr="0019192A" w:rsidRDefault="000A1D18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D18" w:rsidRPr="0019192A" w14:paraId="25FB8A37" w14:textId="77777777" w:rsidTr="00E8747B">
        <w:tc>
          <w:tcPr>
            <w:tcW w:w="3888" w:type="dxa"/>
            <w:shd w:val="clear" w:color="auto" w:fill="ABDBFF"/>
            <w:vAlign w:val="center"/>
          </w:tcPr>
          <w:p w14:paraId="5DBEAB1E" w14:textId="58D7A7E3" w:rsidR="000A1D18" w:rsidRPr="00873A9A" w:rsidRDefault="00873A9A" w:rsidP="00EA58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Reviews and approves </w:t>
            </w:r>
            <w:r w:rsidR="00434F0A">
              <w:rPr>
                <w:rFonts w:ascii="Arial" w:eastAsia="Times New Roman" w:hAnsi="Arial" w:cs="Arial"/>
                <w:sz w:val="18"/>
                <w:szCs w:val="18"/>
              </w:rPr>
              <w:t xml:space="preserve">the 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Subaward Purchase Order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(PO)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34F0A">
              <w:rPr>
                <w:rFonts w:ascii="Arial" w:eastAsia="Times New Roman" w:hAnsi="Arial" w:cs="Arial"/>
                <w:sz w:val="18"/>
                <w:szCs w:val="18"/>
              </w:rPr>
              <w:t xml:space="preserve">requisition/amendment via 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webforms</w:t>
            </w:r>
          </w:p>
        </w:tc>
        <w:tc>
          <w:tcPr>
            <w:tcW w:w="1170" w:type="dxa"/>
            <w:vAlign w:val="center"/>
          </w:tcPr>
          <w:p w14:paraId="76B78512" w14:textId="77777777" w:rsidR="000A1D18" w:rsidRPr="0019192A" w:rsidRDefault="000A1D18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979084F" w14:textId="091DBF72" w:rsidR="000A1D18" w:rsidRPr="0019192A" w:rsidRDefault="00B65C10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152" w:type="dxa"/>
            <w:vAlign w:val="center"/>
          </w:tcPr>
          <w:p w14:paraId="3340B9CF" w14:textId="0B7AA1E8" w:rsidR="000A1D18" w:rsidRPr="0019192A" w:rsidRDefault="00A173B6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224" w:type="dxa"/>
            <w:vAlign w:val="center"/>
          </w:tcPr>
          <w:p w14:paraId="5524FE75" w14:textId="7AA1F341" w:rsidR="000A1D18" w:rsidRPr="0019192A" w:rsidRDefault="00A173B6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0742BA8E" w14:textId="77777777" w:rsidR="000A1D18" w:rsidRPr="0019192A" w:rsidRDefault="000A1D18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4895B5BD" w14:textId="77777777" w:rsidTr="00FC72E7">
        <w:tc>
          <w:tcPr>
            <w:tcW w:w="3888" w:type="dxa"/>
            <w:shd w:val="clear" w:color="auto" w:fill="ABDBFF"/>
            <w:vAlign w:val="center"/>
          </w:tcPr>
          <w:p w14:paraId="658361DF" w14:textId="1738EF15" w:rsidR="00B5460C" w:rsidRPr="00873A9A" w:rsidRDefault="00B5460C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Drafts terms and conditions of the subaward per assessed subrecipient risk level</w:t>
            </w:r>
          </w:p>
        </w:tc>
        <w:tc>
          <w:tcPr>
            <w:tcW w:w="1170" w:type="dxa"/>
            <w:vAlign w:val="center"/>
          </w:tcPr>
          <w:p w14:paraId="7C4EA583" w14:textId="4D7108E1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vAlign w:val="center"/>
          </w:tcPr>
          <w:p w14:paraId="70309C4E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13E95725" w14:textId="2BEA0FE8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224" w:type="dxa"/>
            <w:vAlign w:val="center"/>
          </w:tcPr>
          <w:p w14:paraId="79C0F530" w14:textId="00287A57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7A8B2EF7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4F0A" w:rsidRPr="0019192A" w14:paraId="4ADF2FFB" w14:textId="77777777" w:rsidTr="00FC72E7">
        <w:tc>
          <w:tcPr>
            <w:tcW w:w="3888" w:type="dxa"/>
            <w:shd w:val="clear" w:color="auto" w:fill="ABDBFF"/>
            <w:vAlign w:val="center"/>
          </w:tcPr>
          <w:p w14:paraId="504F9496" w14:textId="46536359" w:rsidR="00434F0A" w:rsidRPr="00873A9A" w:rsidRDefault="00434F0A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Reviews and accepts subaward terms and conditions</w:t>
            </w:r>
          </w:p>
        </w:tc>
        <w:tc>
          <w:tcPr>
            <w:tcW w:w="1170" w:type="dxa"/>
            <w:vAlign w:val="center"/>
          </w:tcPr>
          <w:p w14:paraId="1804290B" w14:textId="2C7435DB" w:rsidR="00434F0A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72A749B5" w14:textId="77777777" w:rsidR="00434F0A" w:rsidRPr="0019192A" w:rsidRDefault="00434F0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16C3A63C" w14:textId="4E05C28B" w:rsidR="00434F0A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224" w:type="dxa"/>
            <w:vAlign w:val="center"/>
          </w:tcPr>
          <w:p w14:paraId="6ACCFA7A" w14:textId="77777777" w:rsidR="00434F0A" w:rsidRPr="0019192A" w:rsidRDefault="00434F0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4B1FA61" w14:textId="77777777" w:rsidR="00434F0A" w:rsidRPr="0019192A" w:rsidRDefault="00434F0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0A969770" w14:textId="77777777" w:rsidTr="00FC72E7">
        <w:tc>
          <w:tcPr>
            <w:tcW w:w="3888" w:type="dxa"/>
            <w:shd w:val="clear" w:color="auto" w:fill="ABDBFF"/>
            <w:vAlign w:val="center"/>
          </w:tcPr>
          <w:p w14:paraId="2CA5304E" w14:textId="77777777" w:rsidR="00B5460C" w:rsidRPr="00873A9A" w:rsidRDefault="00B5460C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Negotiates terms and conditions of the subaward agreement with the subrecipient</w:t>
            </w:r>
          </w:p>
        </w:tc>
        <w:tc>
          <w:tcPr>
            <w:tcW w:w="1170" w:type="dxa"/>
            <w:vAlign w:val="center"/>
          </w:tcPr>
          <w:p w14:paraId="583AE98A" w14:textId="583ECA31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vAlign w:val="center"/>
          </w:tcPr>
          <w:p w14:paraId="671E3EBA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0E595F7B" w14:textId="3650E3C5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15B0B978" w14:textId="4E05245D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37C7E485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273280A0" w14:textId="77777777" w:rsidTr="00FC72E7">
        <w:tc>
          <w:tcPr>
            <w:tcW w:w="3888" w:type="dxa"/>
            <w:shd w:val="clear" w:color="auto" w:fill="ABDBFF"/>
            <w:vAlign w:val="center"/>
          </w:tcPr>
          <w:p w14:paraId="4E3C645A" w14:textId="5CC1FF6A" w:rsidR="00B5460C" w:rsidRPr="00873A9A" w:rsidRDefault="00B5460C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Ensures issuance and receipt of </w:t>
            </w:r>
            <w:proofErr w:type="gramStart"/>
            <w:r w:rsidRPr="00873A9A">
              <w:rPr>
                <w:rFonts w:ascii="Arial" w:eastAsia="Times New Roman" w:hAnsi="Arial" w:cs="Arial"/>
                <w:sz w:val="18"/>
                <w:szCs w:val="18"/>
              </w:rPr>
              <w:t>fully-executed</w:t>
            </w:r>
            <w:proofErr w:type="gramEnd"/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subawards and modifications</w:t>
            </w:r>
          </w:p>
        </w:tc>
        <w:tc>
          <w:tcPr>
            <w:tcW w:w="1170" w:type="dxa"/>
            <w:vAlign w:val="center"/>
          </w:tcPr>
          <w:p w14:paraId="7DE2A12A" w14:textId="25099ABB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A4DCB9B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1588E32F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F804EE0" w14:textId="7BDF9A88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385EC82F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03872B37" w14:textId="77777777" w:rsidTr="00FC72E7">
        <w:tc>
          <w:tcPr>
            <w:tcW w:w="3888" w:type="dxa"/>
            <w:shd w:val="clear" w:color="auto" w:fill="ABDBFF"/>
            <w:vAlign w:val="center"/>
          </w:tcPr>
          <w:p w14:paraId="577D53E3" w14:textId="17087BE6" w:rsidR="00B5460C" w:rsidRPr="00873A9A" w:rsidRDefault="00B5460C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Distributes </w:t>
            </w:r>
            <w:proofErr w:type="gramStart"/>
            <w:r w:rsidRPr="00873A9A">
              <w:rPr>
                <w:rFonts w:ascii="Arial" w:eastAsia="Times New Roman" w:hAnsi="Arial" w:cs="Arial"/>
                <w:sz w:val="18"/>
                <w:szCs w:val="18"/>
              </w:rPr>
              <w:t>fully-executed</w:t>
            </w:r>
            <w:proofErr w:type="gramEnd"/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documents to PIs and their unit administrators</w:t>
            </w:r>
          </w:p>
        </w:tc>
        <w:tc>
          <w:tcPr>
            <w:tcW w:w="1170" w:type="dxa"/>
            <w:vAlign w:val="center"/>
          </w:tcPr>
          <w:p w14:paraId="7E081C87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83B6AEB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3A818739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62D64FC" w14:textId="7C81D032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6687D1C4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4C87C905" w14:textId="77777777" w:rsidTr="00FC72E7">
        <w:tc>
          <w:tcPr>
            <w:tcW w:w="10008" w:type="dxa"/>
            <w:gridSpan w:val="6"/>
            <w:shd w:val="clear" w:color="auto" w:fill="FFFF00"/>
            <w:vAlign w:val="center"/>
          </w:tcPr>
          <w:p w14:paraId="5BD66FB1" w14:textId="686EC442" w:rsidR="00B5460C" w:rsidRPr="0019192A" w:rsidRDefault="00B5460C" w:rsidP="00B546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sz w:val="20"/>
                <w:szCs w:val="20"/>
              </w:rPr>
              <w:t>Subrecipient Risk Assessment and Monitoring</w:t>
            </w:r>
          </w:p>
        </w:tc>
      </w:tr>
      <w:tr w:rsidR="003A2330" w:rsidRPr="0019192A" w14:paraId="459BC6AC" w14:textId="77777777" w:rsidTr="00E8747B">
        <w:tc>
          <w:tcPr>
            <w:tcW w:w="3888" w:type="dxa"/>
            <w:shd w:val="clear" w:color="auto" w:fill="ABDBFF"/>
            <w:vAlign w:val="center"/>
          </w:tcPr>
          <w:p w14:paraId="23F70F84" w14:textId="759FFE2A" w:rsidR="003A2330" w:rsidRPr="00873A9A" w:rsidRDefault="003A2330" w:rsidP="00EA58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Assigns a risk level to the subrecipient via the subrecipient risk assessment</w:t>
            </w:r>
            <w:r w:rsidR="00E8747B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tool</w:t>
            </w:r>
          </w:p>
        </w:tc>
        <w:tc>
          <w:tcPr>
            <w:tcW w:w="1170" w:type="dxa"/>
            <w:vAlign w:val="center"/>
          </w:tcPr>
          <w:p w14:paraId="581B0295" w14:textId="77777777" w:rsidR="003A2330" w:rsidRPr="0019192A" w:rsidRDefault="003A2330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F3F00D9" w14:textId="77777777" w:rsidR="003A2330" w:rsidRPr="0019192A" w:rsidRDefault="003A2330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4F103BD4" w14:textId="77777777" w:rsidR="003A2330" w:rsidRPr="0019192A" w:rsidRDefault="003A2330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CD41A4B" w14:textId="16675E7E" w:rsidR="003A2330" w:rsidRPr="0019192A" w:rsidRDefault="00B65C10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300186C3" w14:textId="77777777" w:rsidR="003A2330" w:rsidRPr="0019192A" w:rsidRDefault="003A2330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3DB17D21" w14:textId="77777777" w:rsidTr="00FC72E7">
        <w:tc>
          <w:tcPr>
            <w:tcW w:w="3888" w:type="dxa"/>
            <w:shd w:val="clear" w:color="auto" w:fill="ABDBFF"/>
            <w:vAlign w:val="center"/>
          </w:tcPr>
          <w:p w14:paraId="73E554A8" w14:textId="77777777" w:rsidR="00B5460C" w:rsidRPr="00873A9A" w:rsidRDefault="00B5460C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Notifies PIs and unit administrators of subaward monitoring requirements based upon assessed subrecipient risk level</w:t>
            </w:r>
          </w:p>
        </w:tc>
        <w:tc>
          <w:tcPr>
            <w:tcW w:w="1170" w:type="dxa"/>
            <w:vAlign w:val="center"/>
          </w:tcPr>
          <w:p w14:paraId="3FEDA10D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A48387B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5FAB8878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29F4FDD" w14:textId="16A0D82D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44C7BD2F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747B" w:rsidRPr="0019192A" w14:paraId="304EEF45" w14:textId="77777777" w:rsidTr="00E8747B">
        <w:tc>
          <w:tcPr>
            <w:tcW w:w="3888" w:type="dxa"/>
            <w:shd w:val="clear" w:color="auto" w:fill="ABDBFF"/>
            <w:vAlign w:val="center"/>
          </w:tcPr>
          <w:p w14:paraId="5940E075" w14:textId="67750D54" w:rsidR="00E8747B" w:rsidRPr="00873A9A" w:rsidRDefault="000A1D18" w:rsidP="00EA587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Conducts annual review of subrecipient audits to determine impact to their assigned risk level and monitoring requirements</w:t>
            </w:r>
          </w:p>
        </w:tc>
        <w:tc>
          <w:tcPr>
            <w:tcW w:w="1170" w:type="dxa"/>
            <w:vAlign w:val="center"/>
          </w:tcPr>
          <w:p w14:paraId="28EFBB4D" w14:textId="77777777" w:rsidR="00E8747B" w:rsidRPr="0019192A" w:rsidRDefault="00E8747B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FF147CD" w14:textId="77777777" w:rsidR="00E8747B" w:rsidRPr="0019192A" w:rsidRDefault="00E8747B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365C3A3F" w14:textId="77777777" w:rsidR="00E8747B" w:rsidRPr="0019192A" w:rsidRDefault="00E8747B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B335443" w14:textId="3391E601" w:rsidR="00E8747B" w:rsidRPr="0019192A" w:rsidRDefault="00B65C10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4B344BDB" w14:textId="77777777" w:rsidR="00E8747B" w:rsidRPr="0019192A" w:rsidRDefault="00E8747B" w:rsidP="00EA587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09F9" w:rsidRPr="0019192A" w14:paraId="6E587D82" w14:textId="77777777" w:rsidTr="00FC72E7">
        <w:tc>
          <w:tcPr>
            <w:tcW w:w="3888" w:type="dxa"/>
            <w:shd w:val="clear" w:color="auto" w:fill="ABDBFF"/>
            <w:vAlign w:val="center"/>
          </w:tcPr>
          <w:p w14:paraId="7826D7F9" w14:textId="77777777" w:rsidR="007609F9" w:rsidRPr="00873A9A" w:rsidRDefault="007609F9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Receives subaward invoices for payment and submits them for payment via webforms</w:t>
            </w:r>
          </w:p>
        </w:tc>
        <w:tc>
          <w:tcPr>
            <w:tcW w:w="1170" w:type="dxa"/>
            <w:vAlign w:val="center"/>
          </w:tcPr>
          <w:p w14:paraId="053850B0" w14:textId="286BD21F" w:rsidR="007609F9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350" w:type="dxa"/>
            <w:vAlign w:val="center"/>
          </w:tcPr>
          <w:p w14:paraId="5C7C32B2" w14:textId="4B68AA88" w:rsidR="007609F9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23B1D0CD" w14:textId="77777777" w:rsidR="007609F9" w:rsidRPr="0019192A" w:rsidRDefault="007609F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7A3FECB" w14:textId="7F317BEB" w:rsidR="007609F9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6972A608" w14:textId="77777777" w:rsidR="007609F9" w:rsidRPr="0019192A" w:rsidRDefault="007609F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708D" w:rsidRPr="0019192A" w14:paraId="0760C906" w14:textId="77777777" w:rsidTr="00FC72E7">
        <w:tc>
          <w:tcPr>
            <w:tcW w:w="3888" w:type="dxa"/>
            <w:shd w:val="clear" w:color="auto" w:fill="ABDBFF"/>
            <w:vAlign w:val="center"/>
          </w:tcPr>
          <w:p w14:paraId="5297C43A" w14:textId="77777777" w:rsidR="004D708D" w:rsidRPr="00873A9A" w:rsidRDefault="004D708D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Reviews subaward invoices for accuracy and completeness including any required backup</w:t>
            </w:r>
          </w:p>
        </w:tc>
        <w:tc>
          <w:tcPr>
            <w:tcW w:w="1170" w:type="dxa"/>
            <w:vAlign w:val="center"/>
          </w:tcPr>
          <w:p w14:paraId="234FBB77" w14:textId="07BE9840" w:rsidR="004D708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350" w:type="dxa"/>
            <w:vAlign w:val="center"/>
          </w:tcPr>
          <w:p w14:paraId="44D78844" w14:textId="69B2B45F" w:rsidR="004D708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1B936FD9" w14:textId="77777777" w:rsidR="004D708D" w:rsidRPr="0019192A" w:rsidRDefault="004D708D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023694D4" w14:textId="0962F0E3" w:rsidR="004D708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02F836F3" w14:textId="77777777" w:rsidR="004D708D" w:rsidRPr="0019192A" w:rsidRDefault="004D708D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09F9" w:rsidRPr="0019192A" w14:paraId="410CA314" w14:textId="77777777" w:rsidTr="00FC72E7">
        <w:tc>
          <w:tcPr>
            <w:tcW w:w="3888" w:type="dxa"/>
            <w:shd w:val="clear" w:color="auto" w:fill="ABDBFF"/>
            <w:vAlign w:val="center"/>
          </w:tcPr>
          <w:p w14:paraId="7D577EA3" w14:textId="4C261EFF" w:rsidR="007609F9" w:rsidRPr="00873A9A" w:rsidRDefault="007609F9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Requests the subrecipient make corrections to subaward invoices prior to payment</w:t>
            </w:r>
          </w:p>
        </w:tc>
        <w:tc>
          <w:tcPr>
            <w:tcW w:w="1170" w:type="dxa"/>
            <w:vAlign w:val="center"/>
          </w:tcPr>
          <w:p w14:paraId="20A22F4C" w14:textId="77777777" w:rsidR="007609F9" w:rsidRPr="0019192A" w:rsidRDefault="007609F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8FD48A9" w14:textId="759C19E9" w:rsidR="007609F9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77D92AE5" w14:textId="77777777" w:rsidR="007609F9" w:rsidRPr="0019192A" w:rsidRDefault="007609F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14F9989" w14:textId="35E38CC4" w:rsidR="007609F9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45C210D5" w14:textId="77777777" w:rsidR="007609F9" w:rsidRPr="0019192A" w:rsidRDefault="007609F9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708D" w:rsidRPr="0019192A" w14:paraId="00ADD489" w14:textId="77777777" w:rsidTr="00FC72E7">
        <w:tc>
          <w:tcPr>
            <w:tcW w:w="3888" w:type="dxa"/>
            <w:shd w:val="clear" w:color="auto" w:fill="ABDBFF"/>
            <w:vAlign w:val="center"/>
          </w:tcPr>
          <w:p w14:paraId="2F526AC7" w14:textId="0D5E4051" w:rsidR="004D708D" w:rsidRPr="00873A9A" w:rsidRDefault="004D708D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Reviews and approves subaward invoices for payment in coordination with Procurement</w:t>
            </w:r>
          </w:p>
        </w:tc>
        <w:tc>
          <w:tcPr>
            <w:tcW w:w="1170" w:type="dxa"/>
            <w:vAlign w:val="center"/>
          </w:tcPr>
          <w:p w14:paraId="07D71D47" w14:textId="77777777" w:rsidR="004D708D" w:rsidRPr="0019192A" w:rsidRDefault="004D708D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28ADD1F" w14:textId="5300147A" w:rsidR="004D708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0451CE2D" w14:textId="77777777" w:rsidR="004D708D" w:rsidRPr="0019192A" w:rsidRDefault="004D708D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15F34A4" w14:textId="009AF044" w:rsidR="004D708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4C735C6E" w14:textId="77777777" w:rsidR="004D708D" w:rsidRPr="0019192A" w:rsidRDefault="004D708D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C56" w:rsidRPr="0019192A" w14:paraId="32133053" w14:textId="77777777" w:rsidTr="00FC72E7">
        <w:tc>
          <w:tcPr>
            <w:tcW w:w="3888" w:type="dxa"/>
            <w:shd w:val="clear" w:color="auto" w:fill="ABDBFF"/>
            <w:vAlign w:val="center"/>
          </w:tcPr>
          <w:p w14:paraId="0A2437CA" w14:textId="4B9B74B5" w:rsidR="00260C56" w:rsidRPr="00873A9A" w:rsidRDefault="00260C56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Maintains regular communication with the subrecipient </w:t>
            </w:r>
            <w:r w:rsidR="00B65C10">
              <w:rPr>
                <w:rFonts w:ascii="Arial" w:eastAsia="Times New Roman" w:hAnsi="Arial" w:cs="Arial"/>
                <w:sz w:val="18"/>
                <w:szCs w:val="18"/>
              </w:rPr>
              <w:t>institution</w:t>
            </w:r>
          </w:p>
        </w:tc>
        <w:tc>
          <w:tcPr>
            <w:tcW w:w="1170" w:type="dxa"/>
            <w:vAlign w:val="center"/>
          </w:tcPr>
          <w:p w14:paraId="2A7CF270" w14:textId="451E79DE" w:rsidR="00260C56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166D730E" w14:textId="3D360E05" w:rsidR="00260C56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7FE394AF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8CBEB0B" w14:textId="5DC49D85" w:rsidR="00260C56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2204ED60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C56" w:rsidRPr="0019192A" w14:paraId="0759A6D1" w14:textId="77777777" w:rsidTr="00FC72E7">
        <w:tc>
          <w:tcPr>
            <w:tcW w:w="3888" w:type="dxa"/>
            <w:shd w:val="clear" w:color="auto" w:fill="ABDBFF"/>
            <w:vAlign w:val="center"/>
          </w:tcPr>
          <w:p w14:paraId="004B9DD5" w14:textId="726933DC" w:rsidR="00260C56" w:rsidRPr="00873A9A" w:rsidRDefault="00260C56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Monitors satisfactory subrecipient performance in accordance with subaward and prime sponsored award objectives</w:t>
            </w:r>
          </w:p>
        </w:tc>
        <w:tc>
          <w:tcPr>
            <w:tcW w:w="1170" w:type="dxa"/>
            <w:vAlign w:val="center"/>
          </w:tcPr>
          <w:p w14:paraId="6FF2A95A" w14:textId="25D930B4" w:rsidR="00260C56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4B57CBA5" w14:textId="3CB17B56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022C5B07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AACC619" w14:textId="7FD57345" w:rsidR="00260C56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24" w:type="dxa"/>
            <w:vAlign w:val="center"/>
          </w:tcPr>
          <w:p w14:paraId="5138B3E1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2E269D9D" w14:textId="77777777" w:rsidTr="00FC72E7">
        <w:tc>
          <w:tcPr>
            <w:tcW w:w="3888" w:type="dxa"/>
            <w:shd w:val="clear" w:color="auto" w:fill="ABDBFF"/>
            <w:vAlign w:val="center"/>
          </w:tcPr>
          <w:p w14:paraId="2FAF7B6B" w14:textId="1A794F21" w:rsidR="00B5460C" w:rsidRPr="00873A9A" w:rsidRDefault="00B5460C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Notifies the Research Office immediately of concerns regarding subrecipient performance</w:t>
            </w:r>
          </w:p>
        </w:tc>
        <w:tc>
          <w:tcPr>
            <w:tcW w:w="1170" w:type="dxa"/>
            <w:vAlign w:val="center"/>
          </w:tcPr>
          <w:p w14:paraId="7A1E74DC" w14:textId="3AB426E3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7D761693" w14:textId="2C44A004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364D12F1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5DC8609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80EE2FC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34F0A" w:rsidRPr="0019192A" w14:paraId="4EDDA030" w14:textId="77777777" w:rsidTr="00FC72E7">
        <w:tc>
          <w:tcPr>
            <w:tcW w:w="3888" w:type="dxa"/>
            <w:shd w:val="clear" w:color="auto" w:fill="ABDBFF"/>
            <w:vAlign w:val="center"/>
          </w:tcPr>
          <w:p w14:paraId="27F71CE9" w14:textId="5E75B998" w:rsidR="00434F0A" w:rsidRPr="00873A9A" w:rsidRDefault="00434F0A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Reviews and submits A-133/UG Subpart F certifications</w:t>
            </w:r>
          </w:p>
        </w:tc>
        <w:tc>
          <w:tcPr>
            <w:tcW w:w="1170" w:type="dxa"/>
            <w:vAlign w:val="center"/>
          </w:tcPr>
          <w:p w14:paraId="4E1CD0F0" w14:textId="77777777" w:rsidR="00434F0A" w:rsidRPr="0019192A" w:rsidRDefault="00434F0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2886D2A" w14:textId="77777777" w:rsidR="00434F0A" w:rsidRPr="0019192A" w:rsidRDefault="00434F0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06D0C645" w14:textId="77777777" w:rsidR="00434F0A" w:rsidRPr="0019192A" w:rsidRDefault="00434F0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252E8A9" w14:textId="5FBB9337" w:rsidR="00434F0A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11B45997" w14:textId="77777777" w:rsidR="00434F0A" w:rsidRPr="0019192A" w:rsidRDefault="00434F0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44FAC9B7" w14:textId="77777777" w:rsidTr="00FC72E7">
        <w:tc>
          <w:tcPr>
            <w:tcW w:w="3888" w:type="dxa"/>
            <w:shd w:val="clear" w:color="auto" w:fill="ABDBFF"/>
            <w:vAlign w:val="center"/>
          </w:tcPr>
          <w:p w14:paraId="28864D57" w14:textId="7CCB9CF9" w:rsidR="00434F0A" w:rsidRPr="00873A9A" w:rsidRDefault="00B5460C" w:rsidP="00434F0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Files all required subaward FFATA reports</w:t>
            </w:r>
          </w:p>
        </w:tc>
        <w:tc>
          <w:tcPr>
            <w:tcW w:w="1170" w:type="dxa"/>
            <w:vAlign w:val="center"/>
          </w:tcPr>
          <w:p w14:paraId="4351B854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119516C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33556D15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F469817" w14:textId="3A0B960C" w:rsidR="00B5460C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0245A5EB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460C" w:rsidRPr="0019192A" w14:paraId="2012E259" w14:textId="77777777" w:rsidTr="00B5460C">
        <w:tc>
          <w:tcPr>
            <w:tcW w:w="10008" w:type="dxa"/>
            <w:gridSpan w:val="6"/>
            <w:shd w:val="clear" w:color="auto" w:fill="FFFF00"/>
            <w:vAlign w:val="center"/>
          </w:tcPr>
          <w:p w14:paraId="3DC740EF" w14:textId="2A2B6A13" w:rsidR="00B5460C" w:rsidRPr="0019192A" w:rsidRDefault="00B5460C" w:rsidP="00B5460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192A">
              <w:rPr>
                <w:rFonts w:ascii="Arial" w:eastAsia="Times New Roman" w:hAnsi="Arial" w:cs="Arial"/>
                <w:sz w:val="20"/>
                <w:szCs w:val="20"/>
              </w:rPr>
              <w:t>Subaward Closeout and Termination</w:t>
            </w:r>
          </w:p>
        </w:tc>
      </w:tr>
      <w:tr w:rsidR="00260C56" w:rsidRPr="0019192A" w14:paraId="5ACF3901" w14:textId="77777777" w:rsidTr="00FC72E7">
        <w:tc>
          <w:tcPr>
            <w:tcW w:w="3888" w:type="dxa"/>
            <w:shd w:val="clear" w:color="auto" w:fill="ABDBFF"/>
            <w:vAlign w:val="center"/>
          </w:tcPr>
          <w:p w14:paraId="4C5E2F6F" w14:textId="7B0EE479" w:rsidR="00260C56" w:rsidRPr="00873A9A" w:rsidRDefault="00B5460C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Notifies the Research Office immediately of </w:t>
            </w:r>
            <w:r w:rsidR="00260C56" w:rsidRPr="00873A9A">
              <w:rPr>
                <w:rFonts w:ascii="Arial" w:eastAsia="Times New Roman" w:hAnsi="Arial" w:cs="Arial"/>
                <w:sz w:val="18"/>
                <w:szCs w:val="18"/>
              </w:rPr>
              <w:t>any potential need for early termination</w:t>
            </w:r>
          </w:p>
        </w:tc>
        <w:tc>
          <w:tcPr>
            <w:tcW w:w="1170" w:type="dxa"/>
            <w:vAlign w:val="center"/>
          </w:tcPr>
          <w:p w14:paraId="544EA57E" w14:textId="1D54A5F3" w:rsidR="00260C56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682FA963" w14:textId="536F18F1" w:rsidR="00260C56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152" w:type="dxa"/>
            <w:vAlign w:val="center"/>
          </w:tcPr>
          <w:p w14:paraId="07823A46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A0233D9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18BC9F3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0C56" w:rsidRPr="0019192A" w14:paraId="59253E66" w14:textId="77777777" w:rsidTr="00FC72E7">
        <w:tc>
          <w:tcPr>
            <w:tcW w:w="3888" w:type="dxa"/>
            <w:shd w:val="clear" w:color="auto" w:fill="ABDBFF"/>
            <w:vAlign w:val="center"/>
          </w:tcPr>
          <w:p w14:paraId="2F41129B" w14:textId="45E09DAF" w:rsidR="00260C56" w:rsidRPr="00873A9A" w:rsidRDefault="00260C56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Collects the subaward closeout form from the subrecipient alongside the final invoice</w:t>
            </w:r>
          </w:p>
        </w:tc>
        <w:tc>
          <w:tcPr>
            <w:tcW w:w="1170" w:type="dxa"/>
            <w:vAlign w:val="center"/>
          </w:tcPr>
          <w:p w14:paraId="6E7387AB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1289046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6C33AFA9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5E6C542" w14:textId="681CC232" w:rsidR="00260C56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224" w:type="dxa"/>
            <w:vAlign w:val="center"/>
          </w:tcPr>
          <w:p w14:paraId="512A26F4" w14:textId="77777777" w:rsidR="00260C56" w:rsidRPr="0019192A" w:rsidRDefault="00260C56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0BCD" w:rsidRPr="0019192A" w14:paraId="245A0C31" w14:textId="77777777" w:rsidTr="00FC72E7">
        <w:tc>
          <w:tcPr>
            <w:tcW w:w="3888" w:type="dxa"/>
            <w:shd w:val="clear" w:color="auto" w:fill="ABDBFF"/>
            <w:vAlign w:val="center"/>
          </w:tcPr>
          <w:p w14:paraId="48F25910" w14:textId="6261E508" w:rsidR="00CB0BCD" w:rsidRPr="00873A9A" w:rsidRDefault="00CB0BCD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Confirms satisfactory completion of all subaward deliverables by the subrecipient</w:t>
            </w:r>
          </w:p>
        </w:tc>
        <w:tc>
          <w:tcPr>
            <w:tcW w:w="1170" w:type="dxa"/>
            <w:vAlign w:val="center"/>
          </w:tcPr>
          <w:p w14:paraId="144F8E96" w14:textId="3252E08A" w:rsidR="00CB0BC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4B1DC6D1" w14:textId="77777777" w:rsidR="00CB0BCD" w:rsidRPr="0019192A" w:rsidRDefault="00CB0BCD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50610DDA" w14:textId="77777777" w:rsidR="00CB0BCD" w:rsidRPr="0019192A" w:rsidRDefault="00CB0BCD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365D3A70" w14:textId="1F6364E1" w:rsidR="00CB0BC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3197B726" w14:textId="30A2A677" w:rsidR="00CB0BC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</w:tr>
      <w:tr w:rsidR="00CB0BCD" w:rsidRPr="0019192A" w14:paraId="0CA9DF72" w14:textId="77777777" w:rsidTr="00FC72E7">
        <w:tc>
          <w:tcPr>
            <w:tcW w:w="3888" w:type="dxa"/>
            <w:shd w:val="clear" w:color="auto" w:fill="ABDBFF"/>
            <w:vAlign w:val="center"/>
          </w:tcPr>
          <w:p w14:paraId="5E7FC32B" w14:textId="77777777" w:rsidR="008545C7" w:rsidRDefault="007609F9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Confirms completion of all required </w:t>
            </w:r>
          </w:p>
          <w:p w14:paraId="29DB1963" w14:textId="76D18247" w:rsidR="00CB0BCD" w:rsidRPr="00873A9A" w:rsidRDefault="007609F9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 w:rsidR="00CB0BCD" w:rsidRPr="00873A9A">
              <w:rPr>
                <w:rFonts w:ascii="Arial" w:eastAsia="Times New Roman" w:hAnsi="Arial" w:cs="Arial"/>
                <w:sz w:val="18"/>
                <w:szCs w:val="18"/>
              </w:rPr>
              <w:t>echnical reports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5569A363" w14:textId="43016B73" w:rsidR="00CB0BC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50ADDE30" w14:textId="77777777" w:rsidR="00CB0BCD" w:rsidRPr="0019192A" w:rsidRDefault="00CB0BCD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3931AD62" w14:textId="77777777" w:rsidR="00CB0BCD" w:rsidRPr="0019192A" w:rsidRDefault="00CB0BCD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1D54931" w14:textId="3A73D370" w:rsidR="00CB0BC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2E65A64F" w14:textId="0883500D" w:rsidR="00CB0BCD" w:rsidRPr="0019192A" w:rsidRDefault="00B65C10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</w:tr>
      <w:tr w:rsidR="008545C7" w:rsidRPr="0019192A" w14:paraId="08F96DCF" w14:textId="77777777" w:rsidTr="00FC72E7">
        <w:tc>
          <w:tcPr>
            <w:tcW w:w="3888" w:type="dxa"/>
            <w:shd w:val="clear" w:color="auto" w:fill="ABDBFF"/>
            <w:vAlign w:val="center"/>
          </w:tcPr>
          <w:p w14:paraId="578A2398" w14:textId="7BE02500" w:rsidR="008545C7" w:rsidRDefault="008545C7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Confirms completion of all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other 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required </w:t>
            </w:r>
          </w:p>
          <w:p w14:paraId="698457D5" w14:textId="0EE59C2A" w:rsidR="008545C7" w:rsidRPr="00873A9A" w:rsidRDefault="008545C7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reports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(invention, property, etc.)</w:t>
            </w:r>
          </w:p>
        </w:tc>
        <w:tc>
          <w:tcPr>
            <w:tcW w:w="1170" w:type="dxa"/>
            <w:vAlign w:val="center"/>
          </w:tcPr>
          <w:p w14:paraId="152A74FA" w14:textId="2D32B6A5" w:rsidR="008545C7" w:rsidRPr="0019192A" w:rsidRDefault="008545C7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350" w:type="dxa"/>
            <w:vAlign w:val="center"/>
          </w:tcPr>
          <w:p w14:paraId="18D65232" w14:textId="1777E3E1" w:rsidR="008545C7" w:rsidRPr="0019192A" w:rsidRDefault="008545C7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711C048E" w14:textId="77777777" w:rsidR="008545C7" w:rsidRPr="0019192A" w:rsidRDefault="008545C7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AE7A4DC" w14:textId="4BA27A12" w:rsidR="008545C7" w:rsidRPr="0019192A" w:rsidRDefault="008545C7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03AC6DB5" w14:textId="35D9007B" w:rsidR="008545C7" w:rsidRPr="0019192A" w:rsidRDefault="008545C7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</w:tr>
      <w:tr w:rsidR="009D3178" w:rsidRPr="0019192A" w14:paraId="77EDAE41" w14:textId="77777777" w:rsidTr="00FC72E7">
        <w:tc>
          <w:tcPr>
            <w:tcW w:w="3888" w:type="dxa"/>
            <w:shd w:val="clear" w:color="auto" w:fill="ABDBFF"/>
            <w:vAlign w:val="center"/>
          </w:tcPr>
          <w:p w14:paraId="5CB90914" w14:textId="2318F656" w:rsidR="009D3178" w:rsidRPr="00873A9A" w:rsidRDefault="001338F7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Requests the 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Subaward Purchase Order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(PO)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be closed via amendment </w:t>
            </w:r>
            <w:r w:rsidRPr="00873A9A">
              <w:rPr>
                <w:rFonts w:ascii="Arial" w:eastAsia="Times New Roman" w:hAnsi="Arial" w:cs="Arial"/>
                <w:sz w:val="18"/>
                <w:szCs w:val="18"/>
              </w:rPr>
              <w:t>webform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D3178">
              <w:rPr>
                <w:rFonts w:ascii="Arial" w:eastAsia="Times New Roman" w:hAnsi="Arial" w:cs="Arial"/>
                <w:sz w:val="18"/>
                <w:szCs w:val="18"/>
              </w:rPr>
              <w:t>for subawards with remaining balances</w:t>
            </w:r>
          </w:p>
        </w:tc>
        <w:tc>
          <w:tcPr>
            <w:tcW w:w="1170" w:type="dxa"/>
            <w:vAlign w:val="center"/>
          </w:tcPr>
          <w:p w14:paraId="419E32A3" w14:textId="77777777" w:rsidR="009D3178" w:rsidRPr="0019192A" w:rsidRDefault="009D3178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D09600B" w14:textId="77777777" w:rsidR="009D3178" w:rsidRPr="0019192A" w:rsidRDefault="009D3178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  <w:tc>
          <w:tcPr>
            <w:tcW w:w="1152" w:type="dxa"/>
            <w:vAlign w:val="center"/>
          </w:tcPr>
          <w:p w14:paraId="1BB6751E" w14:textId="7551EEC9" w:rsidR="009D3178" w:rsidRPr="0019192A" w:rsidRDefault="009D3178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1B7C1C3" w14:textId="77777777" w:rsidR="009D3178" w:rsidRPr="0019192A" w:rsidRDefault="009D3178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19122B7" w14:textId="63427F6A" w:rsidR="009D3178" w:rsidRPr="0019192A" w:rsidRDefault="009D3178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</w:tr>
      <w:tr w:rsidR="00B5460C" w:rsidRPr="0019192A" w14:paraId="2EC12DFD" w14:textId="77777777" w:rsidTr="00FC72E7">
        <w:tc>
          <w:tcPr>
            <w:tcW w:w="3888" w:type="dxa"/>
            <w:shd w:val="clear" w:color="auto" w:fill="ABDBFF"/>
            <w:vAlign w:val="center"/>
          </w:tcPr>
          <w:p w14:paraId="132A9B1A" w14:textId="3293C39B" w:rsidR="00B5460C" w:rsidRPr="00873A9A" w:rsidRDefault="008D751A" w:rsidP="00FC72E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="00B5460C" w:rsidRPr="00873A9A">
              <w:rPr>
                <w:rFonts w:ascii="Arial" w:eastAsia="Times New Roman" w:hAnsi="Arial" w:cs="Arial"/>
                <w:sz w:val="18"/>
                <w:szCs w:val="18"/>
              </w:rPr>
              <w:t>ncludes subaward financials 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UD</w:t>
            </w:r>
            <w:r w:rsidR="00B5460C" w:rsidRPr="00873A9A">
              <w:rPr>
                <w:rFonts w:ascii="Arial" w:eastAsia="Times New Roman" w:hAnsi="Arial" w:cs="Arial"/>
                <w:sz w:val="18"/>
                <w:szCs w:val="18"/>
              </w:rPr>
              <w:t xml:space="preserve"> invoices and reports submitted to the sponsor</w:t>
            </w:r>
          </w:p>
        </w:tc>
        <w:tc>
          <w:tcPr>
            <w:tcW w:w="1170" w:type="dxa"/>
            <w:vAlign w:val="center"/>
          </w:tcPr>
          <w:p w14:paraId="648D0059" w14:textId="6885DC6F" w:rsidR="00B5460C" w:rsidRPr="0019192A" w:rsidRDefault="008D751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vAlign w:val="center"/>
          </w:tcPr>
          <w:p w14:paraId="10533040" w14:textId="662B445D" w:rsidR="00B5460C" w:rsidRPr="0019192A" w:rsidRDefault="008D751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152" w:type="dxa"/>
            <w:vAlign w:val="center"/>
          </w:tcPr>
          <w:p w14:paraId="626EB986" w14:textId="77777777" w:rsidR="00B5460C" w:rsidRPr="0019192A" w:rsidRDefault="00B5460C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CD04550" w14:textId="24EA9FC2" w:rsidR="00B5460C" w:rsidRPr="0019192A" w:rsidRDefault="008D751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224" w:type="dxa"/>
            <w:vAlign w:val="center"/>
          </w:tcPr>
          <w:p w14:paraId="6CFFDCA9" w14:textId="291D7922" w:rsidR="00B5460C" w:rsidRPr="0019192A" w:rsidRDefault="008D751A" w:rsidP="00FC72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</w:p>
        </w:tc>
      </w:tr>
    </w:tbl>
    <w:p w14:paraId="54BAC598" w14:textId="295A9453" w:rsidR="00A96D1B" w:rsidRPr="00A96D1B" w:rsidRDefault="00A96D1B" w:rsidP="009E316A">
      <w:pPr>
        <w:tabs>
          <w:tab w:val="left" w:pos="9970"/>
        </w:tabs>
        <w:rPr>
          <w:rFonts w:ascii="Arial" w:eastAsia="Times New Roman" w:hAnsi="Arial" w:cs="Arial"/>
          <w:sz w:val="20"/>
          <w:szCs w:val="20"/>
        </w:rPr>
      </w:pPr>
    </w:p>
    <w:sectPr w:rsidR="00A96D1B" w:rsidRPr="00A96D1B" w:rsidSect="00034D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D3E"/>
    <w:multiLevelType w:val="hybridMultilevel"/>
    <w:tmpl w:val="8E20F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E1EF2"/>
    <w:multiLevelType w:val="hybridMultilevel"/>
    <w:tmpl w:val="CAC0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1128"/>
    <w:multiLevelType w:val="hybridMultilevel"/>
    <w:tmpl w:val="AF2E2546"/>
    <w:lvl w:ilvl="0" w:tplc="50043AD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1CE69A">
      <w:start w:val="2283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4C782170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D66D1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CD8CFA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AF0F0A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26686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2F64D92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90C7ACE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D5F16"/>
    <w:multiLevelType w:val="hybridMultilevel"/>
    <w:tmpl w:val="59B04642"/>
    <w:lvl w:ilvl="0" w:tplc="B36A5C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E80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874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0E9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9868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A038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5875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0AB5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88C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344B0"/>
    <w:multiLevelType w:val="hybridMultilevel"/>
    <w:tmpl w:val="A5D2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75B8"/>
    <w:multiLevelType w:val="hybridMultilevel"/>
    <w:tmpl w:val="BECAFDDC"/>
    <w:lvl w:ilvl="0" w:tplc="6BFABA6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4B864D4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F508E7A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C8F6E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8800A06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3F86D9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5E320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870FB3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364C49A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D61B36"/>
    <w:multiLevelType w:val="hybridMultilevel"/>
    <w:tmpl w:val="5178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5B61"/>
    <w:multiLevelType w:val="hybridMultilevel"/>
    <w:tmpl w:val="A9629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B00A3"/>
    <w:multiLevelType w:val="hybridMultilevel"/>
    <w:tmpl w:val="2090AB86"/>
    <w:lvl w:ilvl="0" w:tplc="BD3056D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72F7"/>
    <w:multiLevelType w:val="hybridMultilevel"/>
    <w:tmpl w:val="A1A009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90E0F51"/>
    <w:multiLevelType w:val="hybridMultilevel"/>
    <w:tmpl w:val="A14E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8107B"/>
    <w:multiLevelType w:val="hybridMultilevel"/>
    <w:tmpl w:val="D3E0BCD6"/>
    <w:lvl w:ilvl="0" w:tplc="138E9EC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38A2EE0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DE0650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7FEC05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942AB4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56C516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7D60380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2EC00AE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A84C64"/>
    <w:multiLevelType w:val="hybridMultilevel"/>
    <w:tmpl w:val="BB8804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150374"/>
    <w:multiLevelType w:val="hybridMultilevel"/>
    <w:tmpl w:val="51022F0E"/>
    <w:lvl w:ilvl="0" w:tplc="B9A0D1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E91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B203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E11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C635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66F8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442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A74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899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1143B"/>
    <w:multiLevelType w:val="hybridMultilevel"/>
    <w:tmpl w:val="B1128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2740A9"/>
    <w:multiLevelType w:val="hybridMultilevel"/>
    <w:tmpl w:val="BE44E1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0842FCC"/>
    <w:multiLevelType w:val="hybridMultilevel"/>
    <w:tmpl w:val="672692F0"/>
    <w:lvl w:ilvl="0" w:tplc="7A58F90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E6935"/>
    <w:multiLevelType w:val="hybridMultilevel"/>
    <w:tmpl w:val="1832AB54"/>
    <w:lvl w:ilvl="0" w:tplc="49129C0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10AF6"/>
    <w:multiLevelType w:val="multilevel"/>
    <w:tmpl w:val="8484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  <w:b/>
        <w:color w:val="444444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  <w:color w:val="00000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F85C71"/>
    <w:multiLevelType w:val="hybridMultilevel"/>
    <w:tmpl w:val="9B4E6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D64FFF"/>
    <w:multiLevelType w:val="hybridMultilevel"/>
    <w:tmpl w:val="59B4C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512D64"/>
    <w:multiLevelType w:val="hybridMultilevel"/>
    <w:tmpl w:val="463486F8"/>
    <w:lvl w:ilvl="0" w:tplc="798A08A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469E42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32A7220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B26A60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64CF06A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DC65EF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9077A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E08DA1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1745FEC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AA4934"/>
    <w:multiLevelType w:val="hybridMultilevel"/>
    <w:tmpl w:val="2CCE424A"/>
    <w:lvl w:ilvl="0" w:tplc="0F8A7C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0381A92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8A7C5ED6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06BF2"/>
    <w:multiLevelType w:val="hybridMultilevel"/>
    <w:tmpl w:val="55F8725A"/>
    <w:lvl w:ilvl="0" w:tplc="B86A5C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9DB224D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203A7A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5CE272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AAC702C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7A63E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9E8516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9D6A61E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114FE3"/>
    <w:multiLevelType w:val="hybridMultilevel"/>
    <w:tmpl w:val="F332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96051"/>
    <w:multiLevelType w:val="hybridMultilevel"/>
    <w:tmpl w:val="A4B2D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C6872"/>
    <w:multiLevelType w:val="hybridMultilevel"/>
    <w:tmpl w:val="57944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2722E3"/>
    <w:multiLevelType w:val="hybridMultilevel"/>
    <w:tmpl w:val="2702E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2">
    <w:abstractNumId w:val="27"/>
  </w:num>
  <w:num w:numId="3">
    <w:abstractNumId w:val="4"/>
  </w:num>
  <w:num w:numId="4">
    <w:abstractNumId w:val="1"/>
  </w:num>
  <w:num w:numId="5">
    <w:abstractNumId w:val="24"/>
  </w:num>
  <w:num w:numId="6">
    <w:abstractNumId w:val="6"/>
  </w:num>
  <w:num w:numId="7">
    <w:abstractNumId w:val="21"/>
  </w:num>
  <w:num w:numId="8">
    <w:abstractNumId w:val="5"/>
  </w:num>
  <w:num w:numId="9">
    <w:abstractNumId w:val="11"/>
  </w:num>
  <w:num w:numId="10">
    <w:abstractNumId w:val="2"/>
  </w:num>
  <w:num w:numId="11">
    <w:abstractNumId w:val="23"/>
  </w:num>
  <w:num w:numId="12">
    <w:abstractNumId w:val="13"/>
  </w:num>
  <w:num w:numId="13">
    <w:abstractNumId w:val="3"/>
  </w:num>
  <w:num w:numId="14">
    <w:abstractNumId w:val="17"/>
  </w:num>
  <w:num w:numId="15">
    <w:abstractNumId w:val="7"/>
  </w:num>
  <w:num w:numId="16">
    <w:abstractNumId w:val="9"/>
  </w:num>
  <w:num w:numId="17">
    <w:abstractNumId w:val="12"/>
  </w:num>
  <w:num w:numId="18">
    <w:abstractNumId w:val="8"/>
  </w:num>
  <w:num w:numId="19">
    <w:abstractNumId w:val="16"/>
  </w:num>
  <w:num w:numId="20">
    <w:abstractNumId w:val="10"/>
  </w:num>
  <w:num w:numId="21">
    <w:abstractNumId w:val="15"/>
  </w:num>
  <w:num w:numId="22">
    <w:abstractNumId w:val="22"/>
  </w:num>
  <w:num w:numId="23">
    <w:abstractNumId w:val="19"/>
  </w:num>
  <w:num w:numId="24">
    <w:abstractNumId w:val="14"/>
  </w:num>
  <w:num w:numId="25">
    <w:abstractNumId w:val="26"/>
  </w:num>
  <w:num w:numId="26">
    <w:abstractNumId w:val="20"/>
  </w:num>
  <w:num w:numId="27">
    <w:abstractNumId w:val="2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DD"/>
    <w:rsid w:val="0000006C"/>
    <w:rsid w:val="00011321"/>
    <w:rsid w:val="00033129"/>
    <w:rsid w:val="000336A5"/>
    <w:rsid w:val="00034D25"/>
    <w:rsid w:val="00041763"/>
    <w:rsid w:val="000565DE"/>
    <w:rsid w:val="00057E60"/>
    <w:rsid w:val="00061675"/>
    <w:rsid w:val="00063FFD"/>
    <w:rsid w:val="00065DBD"/>
    <w:rsid w:val="000666EF"/>
    <w:rsid w:val="00086B8A"/>
    <w:rsid w:val="000A1D18"/>
    <w:rsid w:val="000B29DD"/>
    <w:rsid w:val="000B2C95"/>
    <w:rsid w:val="000D7129"/>
    <w:rsid w:val="000E5CE3"/>
    <w:rsid w:val="000F2BD2"/>
    <w:rsid w:val="000F6E20"/>
    <w:rsid w:val="001338F7"/>
    <w:rsid w:val="00136AAD"/>
    <w:rsid w:val="001605C1"/>
    <w:rsid w:val="001627B5"/>
    <w:rsid w:val="00163799"/>
    <w:rsid w:val="00170072"/>
    <w:rsid w:val="00187F18"/>
    <w:rsid w:val="00191061"/>
    <w:rsid w:val="0019192A"/>
    <w:rsid w:val="00196C1F"/>
    <w:rsid w:val="001B0876"/>
    <w:rsid w:val="001B0E36"/>
    <w:rsid w:val="001C0F46"/>
    <w:rsid w:val="001C5491"/>
    <w:rsid w:val="001E067C"/>
    <w:rsid w:val="001E3CDA"/>
    <w:rsid w:val="001E7107"/>
    <w:rsid w:val="001E76F7"/>
    <w:rsid w:val="001F0702"/>
    <w:rsid w:val="002011FC"/>
    <w:rsid w:val="00203D51"/>
    <w:rsid w:val="00205102"/>
    <w:rsid w:val="0021699B"/>
    <w:rsid w:val="00231E86"/>
    <w:rsid w:val="00231FDA"/>
    <w:rsid w:val="0023399D"/>
    <w:rsid w:val="00235586"/>
    <w:rsid w:val="002376EB"/>
    <w:rsid w:val="00242562"/>
    <w:rsid w:val="00246828"/>
    <w:rsid w:val="00260C56"/>
    <w:rsid w:val="002665B9"/>
    <w:rsid w:val="00271126"/>
    <w:rsid w:val="00273D67"/>
    <w:rsid w:val="00281E49"/>
    <w:rsid w:val="00286ECA"/>
    <w:rsid w:val="00290269"/>
    <w:rsid w:val="002A2E9B"/>
    <w:rsid w:val="002B00F6"/>
    <w:rsid w:val="002C2D92"/>
    <w:rsid w:val="002E1F96"/>
    <w:rsid w:val="003008E4"/>
    <w:rsid w:val="003033DE"/>
    <w:rsid w:val="00310848"/>
    <w:rsid w:val="003127CE"/>
    <w:rsid w:val="00327909"/>
    <w:rsid w:val="00333582"/>
    <w:rsid w:val="00345A3B"/>
    <w:rsid w:val="003604B3"/>
    <w:rsid w:val="00380B4E"/>
    <w:rsid w:val="00381D82"/>
    <w:rsid w:val="00386515"/>
    <w:rsid w:val="003A2330"/>
    <w:rsid w:val="003A56F2"/>
    <w:rsid w:val="003C15B9"/>
    <w:rsid w:val="003C7406"/>
    <w:rsid w:val="003C7E31"/>
    <w:rsid w:val="003D4D05"/>
    <w:rsid w:val="003E2100"/>
    <w:rsid w:val="003F7DF1"/>
    <w:rsid w:val="00434F0A"/>
    <w:rsid w:val="004463F7"/>
    <w:rsid w:val="004570BE"/>
    <w:rsid w:val="00471CB8"/>
    <w:rsid w:val="00474E7D"/>
    <w:rsid w:val="00492A85"/>
    <w:rsid w:val="004B79AF"/>
    <w:rsid w:val="004D44CB"/>
    <w:rsid w:val="004D5B3F"/>
    <w:rsid w:val="004D708D"/>
    <w:rsid w:val="004E2216"/>
    <w:rsid w:val="004F759F"/>
    <w:rsid w:val="005059C0"/>
    <w:rsid w:val="00526312"/>
    <w:rsid w:val="00574E7E"/>
    <w:rsid w:val="00587359"/>
    <w:rsid w:val="005A7BF4"/>
    <w:rsid w:val="005B6E57"/>
    <w:rsid w:val="005B7306"/>
    <w:rsid w:val="005C5003"/>
    <w:rsid w:val="005D0CCA"/>
    <w:rsid w:val="005D4555"/>
    <w:rsid w:val="005D46AE"/>
    <w:rsid w:val="005E06B2"/>
    <w:rsid w:val="00614036"/>
    <w:rsid w:val="00622FD1"/>
    <w:rsid w:val="006574A3"/>
    <w:rsid w:val="0068084B"/>
    <w:rsid w:val="00680F01"/>
    <w:rsid w:val="00684E35"/>
    <w:rsid w:val="006879AE"/>
    <w:rsid w:val="0069087B"/>
    <w:rsid w:val="00697E8C"/>
    <w:rsid w:val="006B593B"/>
    <w:rsid w:val="006B6B18"/>
    <w:rsid w:val="006D10B6"/>
    <w:rsid w:val="006D2535"/>
    <w:rsid w:val="006D74F6"/>
    <w:rsid w:val="006F18B1"/>
    <w:rsid w:val="0070049E"/>
    <w:rsid w:val="0070073B"/>
    <w:rsid w:val="00705215"/>
    <w:rsid w:val="00710EF6"/>
    <w:rsid w:val="00712D90"/>
    <w:rsid w:val="00742A36"/>
    <w:rsid w:val="0074591F"/>
    <w:rsid w:val="00746D1A"/>
    <w:rsid w:val="00752109"/>
    <w:rsid w:val="00754C78"/>
    <w:rsid w:val="007609F9"/>
    <w:rsid w:val="00760F14"/>
    <w:rsid w:val="00780DEC"/>
    <w:rsid w:val="00785B5E"/>
    <w:rsid w:val="00786482"/>
    <w:rsid w:val="0079540C"/>
    <w:rsid w:val="007B1EEE"/>
    <w:rsid w:val="007B5A13"/>
    <w:rsid w:val="007C38B4"/>
    <w:rsid w:val="007D155B"/>
    <w:rsid w:val="007D4212"/>
    <w:rsid w:val="0081286D"/>
    <w:rsid w:val="00815AC6"/>
    <w:rsid w:val="0081667D"/>
    <w:rsid w:val="008369F8"/>
    <w:rsid w:val="008441C1"/>
    <w:rsid w:val="008545C7"/>
    <w:rsid w:val="00857A74"/>
    <w:rsid w:val="00860C90"/>
    <w:rsid w:val="00865454"/>
    <w:rsid w:val="008674F4"/>
    <w:rsid w:val="00873A9A"/>
    <w:rsid w:val="008A6096"/>
    <w:rsid w:val="008A6841"/>
    <w:rsid w:val="008D751A"/>
    <w:rsid w:val="008D7EF3"/>
    <w:rsid w:val="008E133E"/>
    <w:rsid w:val="008E6162"/>
    <w:rsid w:val="008F6AEA"/>
    <w:rsid w:val="0090347D"/>
    <w:rsid w:val="00907473"/>
    <w:rsid w:val="00910476"/>
    <w:rsid w:val="00920C42"/>
    <w:rsid w:val="00942950"/>
    <w:rsid w:val="0094389A"/>
    <w:rsid w:val="00956506"/>
    <w:rsid w:val="00965AF1"/>
    <w:rsid w:val="00970059"/>
    <w:rsid w:val="00974FF1"/>
    <w:rsid w:val="009A53AE"/>
    <w:rsid w:val="009A6ACC"/>
    <w:rsid w:val="009B3A63"/>
    <w:rsid w:val="009B7D62"/>
    <w:rsid w:val="009C3F34"/>
    <w:rsid w:val="009C6574"/>
    <w:rsid w:val="009C70F2"/>
    <w:rsid w:val="009C7D14"/>
    <w:rsid w:val="009D3178"/>
    <w:rsid w:val="009E316A"/>
    <w:rsid w:val="009E3678"/>
    <w:rsid w:val="009F71AA"/>
    <w:rsid w:val="00A173B6"/>
    <w:rsid w:val="00A208D5"/>
    <w:rsid w:val="00A26B70"/>
    <w:rsid w:val="00A33CAD"/>
    <w:rsid w:val="00A36CE1"/>
    <w:rsid w:val="00A46718"/>
    <w:rsid w:val="00A47DAC"/>
    <w:rsid w:val="00A57C96"/>
    <w:rsid w:val="00A736EB"/>
    <w:rsid w:val="00A73A6E"/>
    <w:rsid w:val="00A77925"/>
    <w:rsid w:val="00A825E3"/>
    <w:rsid w:val="00A834E5"/>
    <w:rsid w:val="00A96618"/>
    <w:rsid w:val="00A96D1B"/>
    <w:rsid w:val="00A96FB9"/>
    <w:rsid w:val="00AA2169"/>
    <w:rsid w:val="00AA749A"/>
    <w:rsid w:val="00AB161E"/>
    <w:rsid w:val="00AB1C76"/>
    <w:rsid w:val="00AB4968"/>
    <w:rsid w:val="00AD047F"/>
    <w:rsid w:val="00AD5104"/>
    <w:rsid w:val="00AD7A03"/>
    <w:rsid w:val="00AE1E03"/>
    <w:rsid w:val="00AE49E0"/>
    <w:rsid w:val="00B0475C"/>
    <w:rsid w:val="00B06BFD"/>
    <w:rsid w:val="00B205BF"/>
    <w:rsid w:val="00B37887"/>
    <w:rsid w:val="00B41E2D"/>
    <w:rsid w:val="00B503DA"/>
    <w:rsid w:val="00B507AA"/>
    <w:rsid w:val="00B5460C"/>
    <w:rsid w:val="00B607BA"/>
    <w:rsid w:val="00B65C10"/>
    <w:rsid w:val="00B66D3F"/>
    <w:rsid w:val="00B84C46"/>
    <w:rsid w:val="00BA3D8F"/>
    <w:rsid w:val="00BB7F18"/>
    <w:rsid w:val="00BC0394"/>
    <w:rsid w:val="00BC1AA6"/>
    <w:rsid w:val="00BC1DB0"/>
    <w:rsid w:val="00BF5B18"/>
    <w:rsid w:val="00C0479C"/>
    <w:rsid w:val="00C05C32"/>
    <w:rsid w:val="00C44AA4"/>
    <w:rsid w:val="00C577B6"/>
    <w:rsid w:val="00C61F90"/>
    <w:rsid w:val="00C65254"/>
    <w:rsid w:val="00C864CA"/>
    <w:rsid w:val="00CA01B7"/>
    <w:rsid w:val="00CA5638"/>
    <w:rsid w:val="00CB00BE"/>
    <w:rsid w:val="00CB0BCD"/>
    <w:rsid w:val="00CB1B41"/>
    <w:rsid w:val="00CB46D1"/>
    <w:rsid w:val="00CB5612"/>
    <w:rsid w:val="00CC4577"/>
    <w:rsid w:val="00CC4F8A"/>
    <w:rsid w:val="00CC6859"/>
    <w:rsid w:val="00CD501B"/>
    <w:rsid w:val="00CD56F8"/>
    <w:rsid w:val="00CE1668"/>
    <w:rsid w:val="00CE3962"/>
    <w:rsid w:val="00CE52B1"/>
    <w:rsid w:val="00D1787A"/>
    <w:rsid w:val="00D22352"/>
    <w:rsid w:val="00D258D3"/>
    <w:rsid w:val="00D27DED"/>
    <w:rsid w:val="00D31DD4"/>
    <w:rsid w:val="00D43A2C"/>
    <w:rsid w:val="00D76153"/>
    <w:rsid w:val="00DB148D"/>
    <w:rsid w:val="00DE575C"/>
    <w:rsid w:val="00DE7357"/>
    <w:rsid w:val="00E04E24"/>
    <w:rsid w:val="00E055E6"/>
    <w:rsid w:val="00E1111B"/>
    <w:rsid w:val="00E13ED6"/>
    <w:rsid w:val="00E14C97"/>
    <w:rsid w:val="00E62339"/>
    <w:rsid w:val="00E707E7"/>
    <w:rsid w:val="00E73696"/>
    <w:rsid w:val="00E80C78"/>
    <w:rsid w:val="00E8747B"/>
    <w:rsid w:val="00EA587B"/>
    <w:rsid w:val="00EC1496"/>
    <w:rsid w:val="00EC36A9"/>
    <w:rsid w:val="00ED2E59"/>
    <w:rsid w:val="00EE6FBE"/>
    <w:rsid w:val="00EE75F1"/>
    <w:rsid w:val="00F0731A"/>
    <w:rsid w:val="00F11A00"/>
    <w:rsid w:val="00F15912"/>
    <w:rsid w:val="00F30FFF"/>
    <w:rsid w:val="00F61500"/>
    <w:rsid w:val="00F67B8B"/>
    <w:rsid w:val="00F77B8E"/>
    <w:rsid w:val="00F9089D"/>
    <w:rsid w:val="00FA009B"/>
    <w:rsid w:val="00FA5343"/>
    <w:rsid w:val="00FA7619"/>
    <w:rsid w:val="00FB3794"/>
    <w:rsid w:val="00FC4CFB"/>
    <w:rsid w:val="00FC72E7"/>
    <w:rsid w:val="00FE6F4E"/>
    <w:rsid w:val="05A5EBB5"/>
    <w:rsid w:val="4F5EC525"/>
    <w:rsid w:val="7FE3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0738"/>
  <w15:chartTrackingRefBased/>
  <w15:docId w15:val="{FC8FA63D-4DCC-4C1D-B80A-00B28EB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B29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29D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29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9D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1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1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399D"/>
    <w:pPr>
      <w:ind w:left="720"/>
      <w:contextualSpacing/>
    </w:pPr>
  </w:style>
  <w:style w:type="table" w:styleId="TableGrid">
    <w:name w:val="Table Grid"/>
    <w:basedOn w:val="TableNormal"/>
    <w:uiPriority w:val="59"/>
    <w:rsid w:val="0019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96C1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9F7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6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D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9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2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0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9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1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3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2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46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7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46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2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2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9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8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9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9436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72641073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single" w:sz="6" w:space="0" w:color="FAFAFA"/>
                <w:bottom w:val="single" w:sz="6" w:space="0" w:color="FAFAFA"/>
                <w:right w:val="single" w:sz="6" w:space="0" w:color="FAFAFA"/>
              </w:divBdr>
            </w:div>
          </w:divsChild>
        </w:div>
      </w:divsChild>
    </w:div>
    <w:div w:id="1669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6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Spending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dapps.nss.udel.edu/webforms/embtform?wf_id=404&amp;wf_ty=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48CEBE2BDF34E850FC92123B2854B" ma:contentTypeVersion="11" ma:contentTypeDescription="Create a new document." ma:contentTypeScope="" ma:versionID="94b8ab5e0f01e0ca64ae679239eeb3ef">
  <xsd:schema xmlns:xsd="http://www.w3.org/2001/XMLSchema" xmlns:xs="http://www.w3.org/2001/XMLSchema" xmlns:p="http://schemas.microsoft.com/office/2006/metadata/properties" xmlns:ns2="e070564c-73d6-4130-9de8-261c5a80aa00" xmlns:ns3="fe93331a-9717-4605-aff4-0382800c6a30" targetNamespace="http://schemas.microsoft.com/office/2006/metadata/properties" ma:root="true" ma:fieldsID="d8457f36bbcb796a836bdd1e69f0c59d" ns2:_="" ns3:_="">
    <xsd:import namespace="e070564c-73d6-4130-9de8-261c5a80aa00"/>
    <xsd:import namespace="fe93331a-9717-4605-aff4-0382800c6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0564c-73d6-4130-9de8-261c5a80a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331a-9717-4605-aff4-0382800c6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DF222B-1EC7-445D-928F-0A46C99B54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F6A1D-65BF-4731-A689-F4C33C5D5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0564c-73d6-4130-9de8-261c5a80aa00"/>
    <ds:schemaRef ds:uri="fe93331a-9717-4605-aff4-0382800c6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C0C57-81BE-4DA0-82EF-0386AB1412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3261</Words>
  <Characters>18589</Characters>
  <Application>Microsoft Office Word</Application>
  <DocSecurity>0</DocSecurity>
  <Lines>154</Lines>
  <Paragraphs>43</Paragraphs>
  <ScaleCrop>false</ScaleCrop>
  <Company/>
  <LinksUpToDate>false</LinksUpToDate>
  <CharactersWithSpaces>21807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Paller, Laura V.</dc:creator>
  <cp:keywords/>
  <dc:description/>
  <cp:lastModifiedBy>Barczak, David</cp:lastModifiedBy>
  <cp:revision>2</cp:revision>
  <dcterms:created xsi:type="dcterms:W3CDTF">2020-12-21T21:39:00Z</dcterms:created>
  <dcterms:modified xsi:type="dcterms:W3CDTF">2020-12-21T21:39:00Z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0x0101006A548CEBE2BDF34E850FC92123B2854B</vt:lpwstr>
  </property>
</Properties>
</file>