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AFFB" w14:textId="77777777" w:rsidR="00857336" w:rsidRPr="00857336" w:rsidRDefault="00857336" w:rsidP="00857336">
      <w:pPr>
        <w:spacing w:after="0" w:line="240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737373"/>
          <w:spacing w:val="-15"/>
          <w:kern w:val="0"/>
          <w:sz w:val="33"/>
          <w:szCs w:val="33"/>
          <w14:ligatures w14:val="none"/>
        </w:rPr>
      </w:pPr>
      <w:r w:rsidRPr="00857336">
        <w:rPr>
          <w:rFonts w:ascii="Helvetica" w:eastAsia="Times New Roman" w:hAnsi="Helvetica" w:cs="Helvetica"/>
          <w:b/>
          <w:bCs/>
          <w:color w:val="737373"/>
          <w:spacing w:val="-15"/>
          <w:kern w:val="0"/>
          <w:sz w:val="33"/>
          <w:szCs w:val="33"/>
          <w14:ligatures w14:val="none"/>
        </w:rPr>
        <w:t>Graduate Tuition Policy</w:t>
      </w:r>
    </w:p>
    <w:p w14:paraId="7100108A" w14:textId="77777777" w:rsidR="00857336" w:rsidRPr="00857336" w:rsidRDefault="00857336" w:rsidP="00857336">
      <w:pPr>
        <w:numPr>
          <w:ilvl w:val="0"/>
          <w:numId w:val="1"/>
        </w:numPr>
        <w:spacing w:after="0" w:line="390" w:lineRule="atLeast"/>
        <w:ind w:left="102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SCOPE OF POLICY</w:t>
      </w:r>
    </w:p>
    <w:p w14:paraId="2A876E9A" w14:textId="77777777" w:rsidR="00857336" w:rsidRPr="00857336" w:rsidRDefault="00857336" w:rsidP="00857336">
      <w:pPr>
        <w:spacing w:after="0" w:line="390" w:lineRule="atLeast"/>
        <w:ind w:left="102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This policy sets forth graduate tuition requirements for proposals and awards, and applies to all departments, faculty, and staff involved in externally sponsored research at the University of Delaware.</w:t>
      </w:r>
    </w:p>
    <w:p w14:paraId="28AAD626" w14:textId="77777777" w:rsidR="00857336" w:rsidRPr="00857336" w:rsidRDefault="00857336" w:rsidP="00857336">
      <w:pPr>
        <w:numPr>
          <w:ilvl w:val="0"/>
          <w:numId w:val="1"/>
        </w:numPr>
        <w:spacing w:after="0" w:line="390" w:lineRule="atLeast"/>
        <w:ind w:left="102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POLICY STATEMENT</w:t>
      </w:r>
    </w:p>
    <w:p w14:paraId="3CE63F3B" w14:textId="42975E62" w:rsidR="00857336" w:rsidRPr="00857336" w:rsidRDefault="00857336" w:rsidP="00857336">
      <w:pPr>
        <w:spacing w:after="0" w:line="390" w:lineRule="atLeast"/>
        <w:ind w:left="102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Research Office requires graduate tuition to be budgeted to grants and contracts at a minimum rate of 40% of the full-time tuition, per student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proportional to effort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, at the university base rate of $1,028 per credit hour for the fall and spring semesters. Exceptions to this policy may be granted under specific circumstances as outlined per this policy.</w:t>
      </w:r>
    </w:p>
    <w:p w14:paraId="68148296" w14:textId="77777777" w:rsidR="00857336" w:rsidRPr="00857336" w:rsidRDefault="00857336" w:rsidP="00857336">
      <w:pPr>
        <w:numPr>
          <w:ilvl w:val="0"/>
          <w:numId w:val="1"/>
        </w:numPr>
        <w:spacing w:after="0" w:line="390" w:lineRule="atLeast"/>
        <w:ind w:left="102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POLICY STANDARDS AND PROCEDURES</w:t>
      </w:r>
    </w:p>
    <w:p w14:paraId="75E2B19F" w14:textId="77777777" w:rsidR="00857336" w:rsidRPr="00857336" w:rsidRDefault="00857336" w:rsidP="00857336">
      <w:pPr>
        <w:numPr>
          <w:ilvl w:val="1"/>
          <w:numId w:val="1"/>
        </w:numPr>
        <w:spacing w:after="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Budgeting Requirements</w:t>
      </w:r>
    </w:p>
    <w:p w14:paraId="14C507A4" w14:textId="011C7440" w:rsidR="00857336" w:rsidRPr="00857336" w:rsidRDefault="00857336" w:rsidP="00857336">
      <w:pPr>
        <w:numPr>
          <w:ilvl w:val="2"/>
          <w:numId w:val="1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Graduate tuition must be budgeted as a direct charge to all grants and contracts at a minimum rate of 40% of the full-time tuition, per student, at the university base rate of $1,028 per credit hour for the fall and spring semesters.</w:t>
      </w:r>
    </w:p>
    <w:p w14:paraId="65C2E130" w14:textId="77777777" w:rsidR="00857336" w:rsidRPr="00857336" w:rsidRDefault="00857336" w:rsidP="00857336">
      <w:pPr>
        <w:numPr>
          <w:ilvl w:val="2"/>
          <w:numId w:val="1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Full tuition is considered 9 credit hours per semester at the university rate of $1,028 per credit hour.</w:t>
      </w:r>
    </w:p>
    <w:p w14:paraId="0045DAA3" w14:textId="77777777" w:rsidR="00857336" w:rsidRPr="00857336" w:rsidRDefault="00857336" w:rsidP="00857336">
      <w:pPr>
        <w:numPr>
          <w:ilvl w:val="3"/>
          <w:numId w:val="1"/>
        </w:numPr>
        <w:spacing w:after="150" w:line="390" w:lineRule="atLeast"/>
        <w:ind w:left="408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If a graduate student is being budgeted at less than 100% of their stipend, the rate of the tuition should be prorated proportionately across all proposals, if applicable.</w:t>
      </w:r>
    </w:p>
    <w:p w14:paraId="12E15DC8" w14:textId="093771E2" w:rsidR="00857336" w:rsidRPr="00857336" w:rsidRDefault="00857336" w:rsidP="00857336">
      <w:pPr>
        <w:numPr>
          <w:ilvl w:val="4"/>
          <w:numId w:val="1"/>
        </w:numPr>
        <w:spacing w:after="150" w:line="390" w:lineRule="atLeast"/>
        <w:ind w:left="510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For example, </w:t>
      </w:r>
      <w:r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f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or a student budgeted at 50% of their stipend, a minimum </w:t>
      </w:r>
      <w:r w:rsidR="00E364FA"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of </w:t>
      </w:r>
      <w:r w:rsidR="00E364FA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20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% </w:t>
      </w:r>
      <w:r w:rsidR="003C1905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shall be 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and up to 50% of the tuition may be budgeted on the proposal. Or, for a student budgeted at 50% of their stipend on two proposals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(25% on each proposal)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, a minimum of 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0% </w:t>
      </w:r>
      <w:r w:rsidR="003C1905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shall be 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and up to 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25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% of the tuition may be budgeted </w:t>
      </w:r>
      <w:r w:rsidR="000E1714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on each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 proposal.</w:t>
      </w:r>
    </w:p>
    <w:p w14:paraId="6AD78ED5" w14:textId="77777777" w:rsidR="00857336" w:rsidRPr="00857336" w:rsidRDefault="00857336" w:rsidP="00857336">
      <w:pPr>
        <w:numPr>
          <w:ilvl w:val="3"/>
          <w:numId w:val="1"/>
        </w:numPr>
        <w:spacing w:after="150" w:line="390" w:lineRule="atLeast"/>
        <w:ind w:left="408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lastRenderedPageBreak/>
        <w:t>If a sponsor provides a stated amount for cost of education, the full amount as stated by the sponsor may be budgeted.</w:t>
      </w:r>
    </w:p>
    <w:p w14:paraId="6A8F6D08" w14:textId="77777777" w:rsidR="00857336" w:rsidRPr="00857336" w:rsidRDefault="00857336" w:rsidP="00857336">
      <w:pPr>
        <w:numPr>
          <w:ilvl w:val="0"/>
          <w:numId w:val="1"/>
        </w:numPr>
        <w:spacing w:after="0" w:line="390" w:lineRule="atLeast"/>
        <w:ind w:left="102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Policy Exception Requests</w:t>
      </w:r>
    </w:p>
    <w:p w14:paraId="1B56AE4A" w14:textId="77777777" w:rsidR="00857336" w:rsidRPr="00857336" w:rsidRDefault="00857336" w:rsidP="00857336">
      <w:pPr>
        <w:numPr>
          <w:ilvl w:val="1"/>
          <w:numId w:val="2"/>
        </w:numPr>
        <w:spacing w:after="15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Exceptions to this policy may be granted with approval of both the PI’s Dean (or designee) and the Vice President for Research, Scholarship, and Innovation (or designee) in cases where:</w:t>
      </w:r>
    </w:p>
    <w:p w14:paraId="67691350" w14:textId="77777777" w:rsidR="00857336" w:rsidRPr="00857336" w:rsidRDefault="00857336" w:rsidP="00857336">
      <w:pPr>
        <w:numPr>
          <w:ilvl w:val="2"/>
          <w:numId w:val="3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funding organization has a written policy precluding or limiting the charging of graduate tuition to awards, or</w:t>
      </w:r>
    </w:p>
    <w:p w14:paraId="4516DA60" w14:textId="77777777" w:rsidR="00857336" w:rsidRPr="00857336" w:rsidRDefault="00857336" w:rsidP="00857336">
      <w:pPr>
        <w:numPr>
          <w:ilvl w:val="2"/>
          <w:numId w:val="3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total funding available to the PI(s) for the project is less than $75,000 per year.</w:t>
      </w:r>
    </w:p>
    <w:p w14:paraId="18C46773" w14:textId="77777777" w:rsidR="00857336" w:rsidRPr="00857336" w:rsidRDefault="00857336" w:rsidP="00857336">
      <w:pPr>
        <w:numPr>
          <w:ilvl w:val="1"/>
          <w:numId w:val="2"/>
        </w:numPr>
        <w:spacing w:after="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:u w:val="single"/>
          <w:bdr w:val="none" w:sz="0" w:space="0" w:color="auto" w:frame="1"/>
          <w14:ligatures w14:val="none"/>
        </w:rPr>
        <w:t>Exception Requests During Proposal Submission: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 A request for an exception to the graduate tuition policy should be processed via the Proposal Approval Summary Webform.</w:t>
      </w:r>
    </w:p>
    <w:p w14:paraId="41C160B2" w14:textId="77777777" w:rsidR="00857336" w:rsidRPr="00857336" w:rsidRDefault="00857336" w:rsidP="00857336">
      <w:pPr>
        <w:numPr>
          <w:ilvl w:val="2"/>
          <w:numId w:val="4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If the request is due to a written sponsor policy, the sponsor policy should be attached to the UD Financials: PeopleSoft Proposal Attachments page using the naming convention “[</w:t>
      </w:r>
      <w:proofErr w:type="spellStart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ProposalID</w:t>
      </w:r>
      <w:proofErr w:type="spellEnd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]_</w:t>
      </w:r>
      <w:proofErr w:type="spellStart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Tuition_other</w:t>
      </w:r>
      <w:proofErr w:type="spellEnd"/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”. This will feed into the webform for review.</w:t>
      </w:r>
    </w:p>
    <w:p w14:paraId="32A7762A" w14:textId="77777777" w:rsidR="00857336" w:rsidRPr="00857336" w:rsidRDefault="00857336" w:rsidP="00857336">
      <w:pPr>
        <w:numPr>
          <w:ilvl w:val="2"/>
          <w:numId w:val="4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If the request is for an exception is due to the PI project being less than $75,000, the Dean (or designee) and the Vice President for Research, Scholarship, and Innovation (or designee) will review and approve the exception via the proposal approval form routing prior to submission</w:t>
      </w:r>
    </w:p>
    <w:p w14:paraId="5D6CF981" w14:textId="77777777" w:rsidR="00857336" w:rsidRPr="00857336" w:rsidRDefault="00857336" w:rsidP="00857336">
      <w:pPr>
        <w:numPr>
          <w:ilvl w:val="1"/>
          <w:numId w:val="2"/>
        </w:numPr>
        <w:spacing w:after="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:u w:val="single"/>
          <w:bdr w:val="none" w:sz="0" w:space="0" w:color="auto" w:frame="1"/>
          <w14:ligatures w14:val="none"/>
        </w:rPr>
        <w:t>Exceptions Requests During Award Establishment: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 xml:space="preserve"> If a proposal that did not originally meet the exception criteria is subsequently awarded for less than $75,000 per year, an email approval from the Dean (or designee) should be routed to the Contract &amp; Grant Analyst during award establishment. The request for an exception will be sent to Vice President </w:t>
      </w: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lastRenderedPageBreak/>
        <w:t>for Research, Scholarship and Innovation (or designee) for review and approval.</w:t>
      </w:r>
    </w:p>
    <w:p w14:paraId="38ACB84F" w14:textId="77777777" w:rsidR="00857336" w:rsidRPr="00857336" w:rsidRDefault="00857336" w:rsidP="00857336">
      <w:pPr>
        <w:numPr>
          <w:ilvl w:val="0"/>
          <w:numId w:val="1"/>
        </w:numPr>
        <w:spacing w:after="0" w:line="390" w:lineRule="atLeast"/>
        <w:ind w:left="102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bdr w:val="none" w:sz="0" w:space="0" w:color="auto" w:frame="1"/>
          <w14:ligatures w14:val="none"/>
        </w:rPr>
        <w:t>Post-Award Requirements</w:t>
      </w:r>
    </w:p>
    <w:p w14:paraId="55277E7F" w14:textId="77777777" w:rsidR="00857336" w:rsidRPr="00857336" w:rsidRDefault="00857336" w:rsidP="00857336">
      <w:pPr>
        <w:numPr>
          <w:ilvl w:val="1"/>
          <w:numId w:val="5"/>
        </w:numPr>
        <w:spacing w:after="15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allocation of tuition costs must be allowable per the award guidelines and must not exceed the distribution of effort as reported through salary charges.</w:t>
      </w:r>
    </w:p>
    <w:p w14:paraId="672CB922" w14:textId="77777777" w:rsidR="00857336" w:rsidRPr="00857336" w:rsidRDefault="00857336" w:rsidP="00857336">
      <w:pPr>
        <w:numPr>
          <w:ilvl w:val="1"/>
          <w:numId w:val="5"/>
        </w:numPr>
        <w:spacing w:after="15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Any re-budgeting of graduate student stipends should include the proportionate re-budgeting of tuition.</w:t>
      </w:r>
    </w:p>
    <w:p w14:paraId="39C735E1" w14:textId="77777777" w:rsidR="00857336" w:rsidRPr="00857336" w:rsidRDefault="00857336" w:rsidP="00857336">
      <w:pPr>
        <w:numPr>
          <w:ilvl w:val="1"/>
          <w:numId w:val="5"/>
        </w:numPr>
        <w:spacing w:after="15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Department/college research administrators should routinely reconcile tuition expenses for fiscal compliance.</w:t>
      </w:r>
    </w:p>
    <w:p w14:paraId="2A6ABB20" w14:textId="77777777" w:rsidR="00857336" w:rsidRPr="00857336" w:rsidRDefault="00857336" w:rsidP="00857336">
      <w:pPr>
        <w:numPr>
          <w:ilvl w:val="1"/>
          <w:numId w:val="5"/>
        </w:numPr>
        <w:spacing w:after="0" w:line="390" w:lineRule="atLeast"/>
        <w:ind w:left="204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The Research Office will review tuition expenses during the closeout process for the </w:t>
      </w:r>
      <w:hyperlink r:id="rId5" w:history="1">
        <w:r w:rsidRPr="00857336">
          <w:rPr>
            <w:rFonts w:ascii="Open Sans" w:eastAsia="Times New Roman" w:hAnsi="Open Sans" w:cs="Open Sans"/>
            <w:b/>
            <w:bCs/>
            <w:color w:val="0B386C"/>
            <w:kern w:val="0"/>
            <w:sz w:val="21"/>
            <w:szCs w:val="21"/>
            <w:u w:val="single"/>
            <w:bdr w:val="none" w:sz="0" w:space="0" w:color="auto" w:frame="1"/>
            <w14:ligatures w14:val="none"/>
          </w:rPr>
          <w:t>fall and spring semesters</w:t>
        </w:r>
      </w:hyperlink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 referencing the following student salary expense account codes:</w:t>
      </w:r>
    </w:p>
    <w:p w14:paraId="5B9991EA" w14:textId="77777777" w:rsidR="00857336" w:rsidRPr="00857336" w:rsidRDefault="00857336" w:rsidP="00857336">
      <w:pPr>
        <w:numPr>
          <w:ilvl w:val="2"/>
          <w:numId w:val="6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122600 GRADUATE ASSISTANT (O/H CHARGE)</w:t>
      </w:r>
    </w:p>
    <w:p w14:paraId="2D7FAF4D" w14:textId="77777777" w:rsidR="00857336" w:rsidRPr="00857336" w:rsidRDefault="00857336" w:rsidP="00857336">
      <w:pPr>
        <w:numPr>
          <w:ilvl w:val="2"/>
          <w:numId w:val="6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122610 GRADUATE TRAINEES</w:t>
      </w:r>
    </w:p>
    <w:p w14:paraId="1674E907" w14:textId="77777777" w:rsidR="00857336" w:rsidRPr="00857336" w:rsidRDefault="00857336" w:rsidP="00857336">
      <w:pPr>
        <w:numPr>
          <w:ilvl w:val="2"/>
          <w:numId w:val="6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122700 GRADUATE FELLOW</w:t>
      </w:r>
    </w:p>
    <w:p w14:paraId="1E1C7308" w14:textId="77777777" w:rsidR="00857336" w:rsidRPr="00857336" w:rsidRDefault="00857336" w:rsidP="00857336">
      <w:pPr>
        <w:numPr>
          <w:ilvl w:val="2"/>
          <w:numId w:val="6"/>
        </w:numPr>
        <w:spacing w:after="150" w:line="390" w:lineRule="atLeast"/>
        <w:ind w:left="3060"/>
        <w:textAlignment w:val="baseline"/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</w:pPr>
      <w:r w:rsidRPr="00857336">
        <w:rPr>
          <w:rFonts w:ascii="Open Sans" w:eastAsia="Times New Roman" w:hAnsi="Open Sans" w:cs="Open Sans"/>
          <w:color w:val="737373"/>
          <w:kern w:val="0"/>
          <w:sz w:val="21"/>
          <w:szCs w:val="21"/>
          <w14:ligatures w14:val="none"/>
        </w:rPr>
        <w:t>126900 GRAD STDT-ENROLLED &lt; 1/2 TIME</w:t>
      </w:r>
    </w:p>
    <w:p w14:paraId="2DADB7F4" w14:textId="77777777" w:rsidR="00A26FDF" w:rsidRDefault="00A26FDF"/>
    <w:sectPr w:rsidR="00A2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35E"/>
    <w:multiLevelType w:val="multilevel"/>
    <w:tmpl w:val="B81C7C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3666140">
    <w:abstractNumId w:val="0"/>
  </w:num>
  <w:num w:numId="2" w16cid:durableId="557597984">
    <w:abstractNumId w:val="0"/>
  </w:num>
  <w:num w:numId="3" w16cid:durableId="27278491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 w16cid:durableId="47524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 w16cid:durableId="1635330705">
    <w:abstractNumId w:val="0"/>
  </w:num>
  <w:num w:numId="6" w16cid:durableId="171874738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36"/>
    <w:rsid w:val="000E1714"/>
    <w:rsid w:val="003C1905"/>
    <w:rsid w:val="006125B6"/>
    <w:rsid w:val="0080232F"/>
    <w:rsid w:val="00857336"/>
    <w:rsid w:val="00A26FDF"/>
    <w:rsid w:val="00E3166D"/>
    <w:rsid w:val="00E364FA"/>
    <w:rsid w:val="00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047E"/>
  <w15:chartTrackingRefBased/>
  <w15:docId w15:val="{DDB3C675-A0E3-4FEC-94EC-2395AB5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57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733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573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57336"/>
    <w:rPr>
      <w:color w:val="0000FF"/>
      <w:u w:val="single"/>
    </w:rPr>
  </w:style>
  <w:style w:type="paragraph" w:styleId="Revision">
    <w:name w:val="Revision"/>
    <w:hidden/>
    <w:uiPriority w:val="99"/>
    <w:semiHidden/>
    <w:rsid w:val="00857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1.udel.edu/registrar/c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Katie</dc:creator>
  <cp:keywords/>
  <dc:description/>
  <cp:lastModifiedBy>Barczak, David</cp:lastModifiedBy>
  <cp:revision>2</cp:revision>
  <dcterms:created xsi:type="dcterms:W3CDTF">2023-11-10T13:28:00Z</dcterms:created>
  <dcterms:modified xsi:type="dcterms:W3CDTF">2023-11-10T13:28:00Z</dcterms:modified>
</cp:coreProperties>
</file>