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AFFB" w14:textId="77777777" w:rsidR="00857336" w:rsidRPr="00857336" w:rsidRDefault="00857336" w:rsidP="00857336">
      <w:pPr>
        <w:spacing w:after="0" w:line="240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737373"/>
          <w:spacing w:val="-15"/>
          <w:kern w:val="0"/>
          <w:sz w:val="33"/>
          <w:szCs w:val="33"/>
          <w14:ligatures w14:val="none"/>
        </w:rPr>
      </w:pPr>
      <w:r w:rsidRPr="00857336">
        <w:rPr>
          <w:rFonts w:ascii="Helvetica" w:eastAsia="Times New Roman" w:hAnsi="Helvetica" w:cs="Helvetica"/>
          <w:b/>
          <w:bCs/>
          <w:color w:val="737373"/>
          <w:spacing w:val="-15"/>
          <w:kern w:val="0"/>
          <w:sz w:val="33"/>
          <w:szCs w:val="33"/>
          <w14:ligatures w14:val="none"/>
        </w:rPr>
        <w:t>Graduate Tuition Policy</w:t>
      </w:r>
    </w:p>
    <w:p w14:paraId="7100108A" w14:textId="77777777" w:rsidR="00857336" w:rsidRPr="00857336" w:rsidRDefault="00857336" w:rsidP="00857336">
      <w:pPr>
        <w:numPr>
          <w:ilvl w:val="0"/>
          <w:numId w:val="1"/>
        </w:num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SCOPE OF POLICY</w:t>
      </w:r>
    </w:p>
    <w:p w14:paraId="2A876E9A" w14:textId="77777777" w:rsidR="00857336" w:rsidRPr="00857336" w:rsidRDefault="00857336" w:rsidP="00857336">
      <w:p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This policy sets forth graduate tuition requirements for proposals and awards, and applies to all departments, faculty, and staff involved in externally sponsored research at the University of Delaware.</w:t>
      </w:r>
    </w:p>
    <w:p w14:paraId="28AAD626" w14:textId="77777777" w:rsidR="00857336" w:rsidRPr="00857336" w:rsidRDefault="00857336" w:rsidP="00857336">
      <w:pPr>
        <w:numPr>
          <w:ilvl w:val="0"/>
          <w:numId w:val="1"/>
        </w:num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POLICY STATEMENT</w:t>
      </w:r>
    </w:p>
    <w:p w14:paraId="3CE63F3B" w14:textId="42975E62" w:rsidR="00857336" w:rsidRPr="00857336" w:rsidRDefault="00857336" w:rsidP="00857336">
      <w:p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Research Office requires graduate tuition to be budgeted to grants and contracts at a minimum rate of 40% of the full-time tuition, per student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proportional to effort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, at the university base rate of $1,028 per credit hour for the fall and spring semesters. Exceptions to this policy may be granted under specific circumstances as outlined per this policy.</w:t>
      </w:r>
    </w:p>
    <w:p w14:paraId="68148296" w14:textId="77777777" w:rsidR="00857336" w:rsidRPr="00857336" w:rsidRDefault="00857336" w:rsidP="00857336">
      <w:pPr>
        <w:numPr>
          <w:ilvl w:val="0"/>
          <w:numId w:val="1"/>
        </w:num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POLICY STANDARDS AND PROCEDURES</w:t>
      </w:r>
    </w:p>
    <w:p w14:paraId="75E2B19F" w14:textId="77777777" w:rsidR="00857336" w:rsidRPr="00857336" w:rsidRDefault="00857336" w:rsidP="00857336">
      <w:pPr>
        <w:numPr>
          <w:ilvl w:val="1"/>
          <w:numId w:val="1"/>
        </w:numPr>
        <w:spacing w:after="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Budgeting Requirements</w:t>
      </w:r>
    </w:p>
    <w:p w14:paraId="14C507A4" w14:textId="011C7440" w:rsidR="00857336" w:rsidRPr="00857336" w:rsidRDefault="00857336" w:rsidP="00857336">
      <w:pPr>
        <w:numPr>
          <w:ilvl w:val="2"/>
          <w:numId w:val="1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Graduate tuition must be budgeted as a direct charge to all grants and contracts at a minimum rate of 40% of the full-time tuition, per student, at the university base rate of $1,028 per credit hour for the fall and spring semesters.</w:t>
      </w:r>
    </w:p>
    <w:p w14:paraId="65C2E130" w14:textId="77777777" w:rsidR="00857336" w:rsidRPr="00857336" w:rsidRDefault="00857336" w:rsidP="00857336">
      <w:pPr>
        <w:numPr>
          <w:ilvl w:val="2"/>
          <w:numId w:val="1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Full tuition is considered 9 credit hours per semester at the university rate of $1,028 per credit hour.</w:t>
      </w:r>
    </w:p>
    <w:p w14:paraId="0045DAA3" w14:textId="77777777" w:rsidR="00857336" w:rsidRPr="00857336" w:rsidRDefault="00857336" w:rsidP="00857336">
      <w:pPr>
        <w:numPr>
          <w:ilvl w:val="3"/>
          <w:numId w:val="1"/>
        </w:numPr>
        <w:spacing w:after="150" w:line="390" w:lineRule="atLeast"/>
        <w:ind w:left="408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a graduate student is being budgeted at less than 100% of their stipend, the rate of the tuition should be prorated proportionately across all proposals, if applicable.</w:t>
      </w:r>
    </w:p>
    <w:p w14:paraId="12E15DC8" w14:textId="093771E2" w:rsidR="00857336" w:rsidRPr="00857336" w:rsidRDefault="00857336" w:rsidP="00857336">
      <w:pPr>
        <w:numPr>
          <w:ilvl w:val="4"/>
          <w:numId w:val="1"/>
        </w:numPr>
        <w:spacing w:after="150" w:line="390" w:lineRule="atLeast"/>
        <w:ind w:left="51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For example, </w:t>
      </w:r>
      <w:r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f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or a student budgeted at 50% of their stipend, a minimum </w:t>
      </w:r>
      <w:r w:rsidR="00E364FA"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of </w:t>
      </w:r>
      <w:r w:rsidR="00E364FA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20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% </w:t>
      </w:r>
      <w:r w:rsidR="003C1905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shall be 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and up to 50% of the tuition may be budgeted on the proposal. Or, for a student budgeted at 50% of their stipend on two proposals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(25% on each proposal)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, a minimum of 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0% </w:t>
      </w:r>
      <w:r w:rsidR="003C1905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shall be 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and up to 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25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% of the tuition may be budgeted 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on each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proposal.</w:t>
      </w:r>
    </w:p>
    <w:p w14:paraId="6AD78ED5" w14:textId="77777777" w:rsidR="00857336" w:rsidRPr="00857336" w:rsidRDefault="00857336" w:rsidP="00857336">
      <w:pPr>
        <w:numPr>
          <w:ilvl w:val="3"/>
          <w:numId w:val="1"/>
        </w:numPr>
        <w:spacing w:after="150" w:line="390" w:lineRule="atLeast"/>
        <w:ind w:left="408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lastRenderedPageBreak/>
        <w:t>If a sponsor provides a stated amount for cost of education, the full amount as stated by the sponsor may be budgeted.</w:t>
      </w:r>
    </w:p>
    <w:p w14:paraId="6A8F6D08" w14:textId="77777777" w:rsidR="00857336" w:rsidRPr="00857336" w:rsidRDefault="00857336" w:rsidP="00857336">
      <w:pPr>
        <w:numPr>
          <w:ilvl w:val="0"/>
          <w:numId w:val="1"/>
        </w:num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Policy Exception Requests</w:t>
      </w:r>
    </w:p>
    <w:p w14:paraId="1B56AE4A" w14:textId="77777777" w:rsidR="00857336" w:rsidRPr="00857336" w:rsidRDefault="00857336" w:rsidP="00857336">
      <w:pPr>
        <w:numPr>
          <w:ilvl w:val="1"/>
          <w:numId w:val="2"/>
        </w:numPr>
        <w:spacing w:after="15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Exceptions to this policy may be granted with approval of both the PI’s Dean (or designee) and the Vice President for Research, Scholarship, and Innovation (or designee) in cases where:</w:t>
      </w:r>
    </w:p>
    <w:p w14:paraId="67691350" w14:textId="77777777" w:rsidR="00857336" w:rsidRPr="00857336" w:rsidRDefault="00857336" w:rsidP="00857336">
      <w:pPr>
        <w:numPr>
          <w:ilvl w:val="2"/>
          <w:numId w:val="3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funding organization has a written policy precluding or limiting the charging of graduate tuition to awards, or</w:t>
      </w:r>
    </w:p>
    <w:p w14:paraId="4516DA60" w14:textId="77777777" w:rsidR="00857336" w:rsidRPr="00857336" w:rsidRDefault="00857336" w:rsidP="00857336">
      <w:pPr>
        <w:numPr>
          <w:ilvl w:val="2"/>
          <w:numId w:val="3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total funding available to the PI(s) for the project is less than $75,000 per year.</w:t>
      </w:r>
    </w:p>
    <w:p w14:paraId="18C46773" w14:textId="77777777" w:rsidR="00857336" w:rsidRPr="00857336" w:rsidRDefault="00857336" w:rsidP="00857336">
      <w:pPr>
        <w:numPr>
          <w:ilvl w:val="1"/>
          <w:numId w:val="2"/>
        </w:numPr>
        <w:spacing w:after="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:u w:val="single"/>
          <w:bdr w:val="none" w:sz="0" w:space="0" w:color="auto" w:frame="1"/>
          <w14:ligatures w14:val="none"/>
        </w:rPr>
        <w:t>Exception Requests During Proposal Submission: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 A request for an exception to the graduate tuition policy should be processed via the Proposal Approval Summary Webform.</w:t>
      </w:r>
    </w:p>
    <w:p w14:paraId="41C160B2" w14:textId="77777777" w:rsidR="00857336" w:rsidRPr="00857336" w:rsidRDefault="00857336" w:rsidP="00857336">
      <w:pPr>
        <w:numPr>
          <w:ilvl w:val="2"/>
          <w:numId w:val="4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the request is due to a written sponsor policy, the sponsor policy should be attached to the UD Financials: PeopleSoft Proposal Attachments page using the naming convention “[</w:t>
      </w:r>
      <w:proofErr w:type="spellStart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ProposalID</w:t>
      </w:r>
      <w:proofErr w:type="spellEnd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]_</w:t>
      </w:r>
      <w:proofErr w:type="spellStart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Tuition_other</w:t>
      </w:r>
      <w:proofErr w:type="spellEnd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”. This will feed into the webform for review.</w:t>
      </w:r>
    </w:p>
    <w:p w14:paraId="32A7762A" w14:textId="77777777" w:rsidR="00857336" w:rsidRPr="00857336" w:rsidRDefault="00857336" w:rsidP="00857336">
      <w:pPr>
        <w:numPr>
          <w:ilvl w:val="2"/>
          <w:numId w:val="4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the request is for an exception is due to the PI project being less than $75,000, the Dean (or designee) and the Vice President for Research, Scholarship, and Innovation (or designee) will review and approve the exception via the proposal approval form routing prior to submission</w:t>
      </w:r>
    </w:p>
    <w:p w14:paraId="5D6CF981" w14:textId="77777777" w:rsidR="00857336" w:rsidRPr="00857336" w:rsidRDefault="00857336" w:rsidP="00857336">
      <w:pPr>
        <w:numPr>
          <w:ilvl w:val="1"/>
          <w:numId w:val="2"/>
        </w:numPr>
        <w:spacing w:after="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:u w:val="single"/>
          <w:bdr w:val="none" w:sz="0" w:space="0" w:color="auto" w:frame="1"/>
          <w14:ligatures w14:val="none"/>
        </w:rPr>
        <w:t>Exceptions Requests During Award Establishment: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 If a proposal that did not originally meet the exception criteria is subsequently awarded for less than $75,000 per year, an email approval from the Dean (or designee) should be routed to the Contract &amp; Grant Analyst during award establishment. The request for an exception will be sent to Vice President 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lastRenderedPageBreak/>
        <w:t>for Research, Scholarship and Innovation (or designee) for review and approval.</w:t>
      </w:r>
    </w:p>
    <w:p w14:paraId="38ACB84F" w14:textId="77777777" w:rsidR="00857336" w:rsidRPr="00857336" w:rsidRDefault="00857336" w:rsidP="00857336">
      <w:pPr>
        <w:numPr>
          <w:ilvl w:val="0"/>
          <w:numId w:val="1"/>
        </w:numPr>
        <w:spacing w:after="0" w:line="390" w:lineRule="atLeast"/>
        <w:ind w:left="102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Post-Award Requirements</w:t>
      </w:r>
    </w:p>
    <w:p w14:paraId="55277E7F" w14:textId="77777777" w:rsidR="00857336" w:rsidRPr="00857336" w:rsidRDefault="00857336" w:rsidP="00857336">
      <w:pPr>
        <w:numPr>
          <w:ilvl w:val="1"/>
          <w:numId w:val="5"/>
        </w:numPr>
        <w:spacing w:after="15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allocation of tuition costs must be allowable per the award guidelines and must not exceed the distribution of effort as reported through salary charges.</w:t>
      </w:r>
    </w:p>
    <w:p w14:paraId="672CB922" w14:textId="77777777" w:rsidR="00857336" w:rsidRPr="00857336" w:rsidRDefault="00857336" w:rsidP="00857336">
      <w:pPr>
        <w:numPr>
          <w:ilvl w:val="1"/>
          <w:numId w:val="5"/>
        </w:numPr>
        <w:spacing w:after="15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Any re-budgeting of graduate student stipends should include the proportionate re-budgeting of tuition.</w:t>
      </w:r>
    </w:p>
    <w:p w14:paraId="39C735E1" w14:textId="77777777" w:rsidR="00857336" w:rsidRPr="00857336" w:rsidRDefault="00857336" w:rsidP="00857336">
      <w:pPr>
        <w:numPr>
          <w:ilvl w:val="1"/>
          <w:numId w:val="5"/>
        </w:numPr>
        <w:spacing w:after="15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Department/college research administrators should routinely reconcile tuition expenses for fiscal compliance.</w:t>
      </w:r>
    </w:p>
    <w:p w14:paraId="2A6ABB20" w14:textId="77777777" w:rsidR="00857336" w:rsidRPr="00857336" w:rsidRDefault="00857336" w:rsidP="00857336">
      <w:pPr>
        <w:numPr>
          <w:ilvl w:val="1"/>
          <w:numId w:val="5"/>
        </w:numPr>
        <w:spacing w:after="0" w:line="390" w:lineRule="atLeast"/>
        <w:ind w:left="20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Research Office will review tuition expenses during the closeout process for the </w:t>
      </w:r>
      <w:hyperlink r:id="rId5" w:history="1">
        <w:r w:rsidRPr="00857336">
          <w:rPr>
            <w:rFonts w:ascii="Open Sans" w:eastAsia="Times New Roman" w:hAnsi="Open Sans" w:cs="Open Sans"/>
            <w:b/>
            <w:bCs/>
            <w:color w:val="0B386C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fall and spring semesters</w:t>
        </w:r>
      </w:hyperlink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 referencing the following student salary expense account codes:</w:t>
      </w:r>
    </w:p>
    <w:p w14:paraId="5B9991EA" w14:textId="77777777" w:rsidR="00857336" w:rsidRPr="00857336" w:rsidRDefault="00857336" w:rsidP="00857336">
      <w:pPr>
        <w:numPr>
          <w:ilvl w:val="2"/>
          <w:numId w:val="6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122600 GRADUATE ASSISTANT (O/H CHARGE)</w:t>
      </w:r>
    </w:p>
    <w:p w14:paraId="2D7FAF4D" w14:textId="77777777" w:rsidR="00857336" w:rsidRPr="00857336" w:rsidRDefault="00857336" w:rsidP="00857336">
      <w:pPr>
        <w:numPr>
          <w:ilvl w:val="2"/>
          <w:numId w:val="6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122610 GRADUATE TRAINEES</w:t>
      </w:r>
    </w:p>
    <w:p w14:paraId="1674E907" w14:textId="77777777" w:rsidR="00857336" w:rsidRPr="00857336" w:rsidRDefault="00857336" w:rsidP="00857336">
      <w:pPr>
        <w:numPr>
          <w:ilvl w:val="2"/>
          <w:numId w:val="6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122700 GRADUATE FELLOW</w:t>
      </w:r>
    </w:p>
    <w:p w14:paraId="1E1C7308" w14:textId="77777777" w:rsidR="00857336" w:rsidRPr="00857336" w:rsidRDefault="00857336" w:rsidP="00857336">
      <w:pPr>
        <w:numPr>
          <w:ilvl w:val="2"/>
          <w:numId w:val="6"/>
        </w:numPr>
        <w:spacing w:after="150" w:line="390" w:lineRule="atLeast"/>
        <w:ind w:left="30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126900 GRAD STDT-ENROLLED &lt; 1/2 TIME</w:t>
      </w:r>
    </w:p>
    <w:p w14:paraId="2DADB7F4" w14:textId="77777777" w:rsidR="00A26FDF" w:rsidRDefault="00A26FDF"/>
    <w:sectPr w:rsidR="00A2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35E"/>
    <w:multiLevelType w:val="multilevel"/>
    <w:tmpl w:val="B81C7C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3666140">
    <w:abstractNumId w:val="0"/>
  </w:num>
  <w:num w:numId="2" w16cid:durableId="557597984">
    <w:abstractNumId w:val="0"/>
  </w:num>
  <w:num w:numId="3" w16cid:durableId="27278491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 w16cid:durableId="47524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 w16cid:durableId="1635330705">
    <w:abstractNumId w:val="0"/>
  </w:num>
  <w:num w:numId="6" w16cid:durableId="171874738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36"/>
    <w:rsid w:val="000E1714"/>
    <w:rsid w:val="003C1905"/>
    <w:rsid w:val="006125B6"/>
    <w:rsid w:val="0080232F"/>
    <w:rsid w:val="00857336"/>
    <w:rsid w:val="00A26FDF"/>
    <w:rsid w:val="00E3166D"/>
    <w:rsid w:val="00E364FA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047E"/>
  <w15:chartTrackingRefBased/>
  <w15:docId w15:val="{DDB3C675-A0E3-4FEC-94EC-2395AB56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57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733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573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57336"/>
    <w:rPr>
      <w:color w:val="0000FF"/>
      <w:u w:val="single"/>
    </w:rPr>
  </w:style>
  <w:style w:type="paragraph" w:styleId="Revision">
    <w:name w:val="Revision"/>
    <w:hidden/>
    <w:uiPriority w:val="99"/>
    <w:semiHidden/>
    <w:rsid w:val="00857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1.udel.edu/registrar/c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Katie</dc:creator>
  <cp:keywords/>
  <dc:description/>
  <cp:lastModifiedBy>Barczak, David</cp:lastModifiedBy>
  <cp:revision>2</cp:revision>
  <dcterms:created xsi:type="dcterms:W3CDTF">2023-11-10T13:28:00Z</dcterms:created>
  <dcterms:modified xsi:type="dcterms:W3CDTF">2023-11-10T13:28:00Z</dcterms:modified>
</cp:coreProperties>
</file>