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AFFB" w14:textId="77777777" w:rsidR="00857336" w:rsidRPr="00857336" w:rsidRDefault="00857336" w:rsidP="00857336">
      <w:pPr>
        <w:spacing w:after="0" w:line="240" w:lineRule="atLeast"/>
        <w:textAlignment w:val="baseline"/>
        <w:outlineLvl w:val="3"/>
        <w:rPr>
          <w:rFonts w:ascii="Helvetica" w:eastAsia="Times New Roman" w:hAnsi="Helvetica" w:cs="Helvetica"/>
          <w:b/>
          <w:bCs/>
          <w:color w:val="737373"/>
          <w:spacing w:val="-15"/>
          <w:kern w:val="0"/>
          <w:sz w:val="33"/>
          <w:szCs w:val="33"/>
          <w14:ligatures w14:val="none"/>
        </w:rPr>
      </w:pPr>
      <w:r w:rsidRPr="00857336">
        <w:rPr>
          <w:rFonts w:ascii="Helvetica" w:eastAsia="Times New Roman" w:hAnsi="Helvetica" w:cs="Helvetica"/>
          <w:b/>
          <w:bCs/>
          <w:color w:val="737373"/>
          <w:spacing w:val="-15"/>
          <w:kern w:val="0"/>
          <w:sz w:val="33"/>
          <w:szCs w:val="33"/>
          <w14:ligatures w14:val="none"/>
        </w:rPr>
        <w:t>Graduate Tuition Policy</w:t>
      </w:r>
    </w:p>
    <w:p w14:paraId="7100108A" w14:textId="77777777" w:rsidR="00857336" w:rsidRPr="00857336" w:rsidRDefault="00857336" w:rsidP="00221F02">
      <w:pPr>
        <w:numPr>
          <w:ilvl w:val="0"/>
          <w:numId w:val="1"/>
        </w:num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SCOPE OF POLICY</w:t>
      </w:r>
    </w:p>
    <w:p w14:paraId="2A876E9A" w14:textId="77777777" w:rsidR="00857336" w:rsidRPr="00857336" w:rsidRDefault="00857336" w:rsidP="00221F02">
      <w:p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This policy sets forth graduate tuition requirements for proposals and awards, and applies to all departments, faculty, and staff involved in externally sponsored research at the University of Delaware.</w:t>
      </w:r>
    </w:p>
    <w:p w14:paraId="28AAD626" w14:textId="77777777" w:rsidR="00857336" w:rsidRPr="00857336" w:rsidRDefault="00857336" w:rsidP="00221F02">
      <w:pPr>
        <w:numPr>
          <w:ilvl w:val="0"/>
          <w:numId w:val="1"/>
        </w:num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STATEMENT</w:t>
      </w:r>
    </w:p>
    <w:p w14:paraId="3CE63F3B" w14:textId="1AD00477" w:rsidR="00857336" w:rsidRPr="00857336" w:rsidRDefault="00857336" w:rsidP="00221F02">
      <w:p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Research Office requires graduate tuition to be budgeted to grants and contracts at a minimum rate of 40% of the full-time tuition, per student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proportional to effort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, at the university base rate of </w:t>
      </w:r>
      <w:r w:rsidR="00221F02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$1,069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per credit hour for the fall and spring semesters. Exceptions to this policy may be granted under specific circumstances as outlined per this policy.</w:t>
      </w:r>
    </w:p>
    <w:p w14:paraId="68148296" w14:textId="77777777" w:rsidR="00857336" w:rsidRPr="00857336" w:rsidRDefault="00857336" w:rsidP="00221F02">
      <w:pPr>
        <w:numPr>
          <w:ilvl w:val="0"/>
          <w:numId w:val="1"/>
        </w:num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STANDARDS AND PROCEDURES</w:t>
      </w:r>
    </w:p>
    <w:p w14:paraId="75E2B19F" w14:textId="77777777" w:rsidR="00857336" w:rsidRPr="00857336" w:rsidRDefault="00857336" w:rsidP="00221F02">
      <w:pPr>
        <w:numPr>
          <w:ilvl w:val="1"/>
          <w:numId w:val="1"/>
        </w:numPr>
        <w:spacing w:after="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Budgeting Requirements</w:t>
      </w:r>
    </w:p>
    <w:p w14:paraId="14C507A4" w14:textId="1A67457A" w:rsidR="00857336" w:rsidRPr="00857336" w:rsidRDefault="00857336" w:rsidP="00221F02">
      <w:pPr>
        <w:numPr>
          <w:ilvl w:val="2"/>
          <w:numId w:val="1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Graduate tuition must be budgeted as a direct charge to all grants and contracts at a minimum rate of 40% of the full-time tuition, per student, at the university base rate of </w:t>
      </w:r>
      <w:r w:rsidR="00221F02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$1,069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per credit hour for the fall and spring semesters.</w:t>
      </w:r>
    </w:p>
    <w:p w14:paraId="65C2E130" w14:textId="020567AD" w:rsidR="00857336" w:rsidRPr="00857336" w:rsidRDefault="00857336" w:rsidP="00221F02">
      <w:pPr>
        <w:numPr>
          <w:ilvl w:val="2"/>
          <w:numId w:val="1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Full tuition is considered 9 credit hours per semester at the university rate of </w:t>
      </w:r>
      <w:r w:rsidR="00221F02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$1,069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per credit hour.</w:t>
      </w:r>
    </w:p>
    <w:p w14:paraId="0045DAA3" w14:textId="77777777" w:rsidR="00857336" w:rsidRPr="00857336" w:rsidRDefault="00857336" w:rsidP="00221F02">
      <w:pPr>
        <w:numPr>
          <w:ilvl w:val="3"/>
          <w:numId w:val="1"/>
        </w:numPr>
        <w:spacing w:after="150" w:line="390" w:lineRule="atLeast"/>
        <w:ind w:left="198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a graduate student is being budgeted at less than 100% of their stipend, the rate of the tuition should be prorated proportionately across all proposals, if applicable.</w:t>
      </w:r>
    </w:p>
    <w:p w14:paraId="12E15DC8" w14:textId="093771E2" w:rsidR="00857336" w:rsidRPr="00857336" w:rsidRDefault="00857336" w:rsidP="00221F02">
      <w:pPr>
        <w:numPr>
          <w:ilvl w:val="4"/>
          <w:numId w:val="1"/>
        </w:numPr>
        <w:spacing w:after="150" w:line="390" w:lineRule="atLeast"/>
        <w:ind w:left="225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For example, </w:t>
      </w:r>
      <w:r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f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or a student budgeted at 50% of their stipend, a minimum </w:t>
      </w:r>
      <w:r w:rsidR="00E364FA"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of </w:t>
      </w:r>
      <w:r w:rsidR="00E364FA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20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% </w:t>
      </w:r>
      <w:r w:rsidR="003C1905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shall be 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and up to 50% of the tuition may be budgeted on the proposal. Or, for a student budgeted at 50% of their stipend on two proposals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(25% on each proposal)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, a minimum of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0% </w:t>
      </w:r>
      <w:r w:rsidR="003C1905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shall be 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and up to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25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% of the tuition may be budgeted </w:t>
      </w:r>
      <w:r w:rsidR="000E1714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on each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 xml:space="preserve"> proposal.</w:t>
      </w:r>
    </w:p>
    <w:p w14:paraId="6AD78ED5" w14:textId="77777777" w:rsidR="00857336" w:rsidRPr="00857336" w:rsidRDefault="00857336" w:rsidP="00221F02">
      <w:pPr>
        <w:numPr>
          <w:ilvl w:val="3"/>
          <w:numId w:val="1"/>
        </w:numPr>
        <w:spacing w:after="150" w:line="390" w:lineRule="atLeast"/>
        <w:ind w:left="198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a sponsor provides a stated amount for cost of education, the full amount as stated by the sponsor may be budgeted.</w:t>
      </w:r>
    </w:p>
    <w:p w14:paraId="6A8F6D08" w14:textId="77777777" w:rsidR="00857336" w:rsidRPr="00857336" w:rsidRDefault="00857336" w:rsidP="00221F02">
      <w:pPr>
        <w:numPr>
          <w:ilvl w:val="0"/>
          <w:numId w:val="1"/>
        </w:num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Policy Exception Requests</w:t>
      </w:r>
    </w:p>
    <w:p w14:paraId="1B56AE4A" w14:textId="77777777" w:rsidR="00857336" w:rsidRPr="00857336" w:rsidRDefault="00857336" w:rsidP="00221F02">
      <w:pPr>
        <w:numPr>
          <w:ilvl w:val="1"/>
          <w:numId w:val="2"/>
        </w:numPr>
        <w:spacing w:after="15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Exceptions to this policy may be granted with approval of both the PI’s Dean (or designee) and the Vice President for Research, Scholarship, and Innovation (or designee) in cases where:</w:t>
      </w:r>
    </w:p>
    <w:p w14:paraId="67691350" w14:textId="77777777" w:rsidR="00857336" w:rsidRPr="00857336" w:rsidRDefault="00857336" w:rsidP="00221F02">
      <w:pPr>
        <w:numPr>
          <w:ilvl w:val="2"/>
          <w:numId w:val="3"/>
        </w:numPr>
        <w:spacing w:after="150" w:line="390" w:lineRule="atLeast"/>
        <w:ind w:left="135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funding organization has a written policy precluding or limiting the charging of graduate tuition to awards, or</w:t>
      </w:r>
    </w:p>
    <w:p w14:paraId="4516DA60" w14:textId="77777777" w:rsidR="00857336" w:rsidRPr="00857336" w:rsidRDefault="00857336" w:rsidP="00221F02">
      <w:pPr>
        <w:numPr>
          <w:ilvl w:val="2"/>
          <w:numId w:val="3"/>
        </w:numPr>
        <w:spacing w:after="150" w:line="390" w:lineRule="atLeast"/>
        <w:ind w:left="135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lastRenderedPageBreak/>
        <w:t>the total funding available to the PI(s) for the project is less than $75,000 per year.</w:t>
      </w:r>
    </w:p>
    <w:p w14:paraId="18C46773" w14:textId="77777777" w:rsidR="00857336" w:rsidRPr="00857336" w:rsidRDefault="00857336" w:rsidP="00221F02">
      <w:pPr>
        <w:numPr>
          <w:ilvl w:val="1"/>
          <w:numId w:val="2"/>
        </w:numPr>
        <w:spacing w:after="0" w:line="390" w:lineRule="atLeast"/>
        <w:ind w:left="81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:u w:val="single"/>
          <w:bdr w:val="none" w:sz="0" w:space="0" w:color="auto" w:frame="1"/>
          <w14:ligatures w14:val="none"/>
        </w:rPr>
        <w:t>Exception Requests During Proposal Submission: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 A request for an exception to the graduate tuition policy should be processed via the Proposal Approval Summary Webform.</w:t>
      </w:r>
    </w:p>
    <w:p w14:paraId="41C160B2" w14:textId="77777777" w:rsidR="00857336" w:rsidRPr="00857336" w:rsidRDefault="00857336" w:rsidP="00221F02">
      <w:pPr>
        <w:numPr>
          <w:ilvl w:val="2"/>
          <w:numId w:val="4"/>
        </w:numPr>
        <w:spacing w:after="150" w:line="390" w:lineRule="atLeast"/>
        <w:ind w:left="117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the request is due to a written sponsor policy, the sponsor policy should be attached to the UD Financials: PeopleSoft Proposal Attachments page using the naming convention “[</w:t>
      </w:r>
      <w:proofErr w:type="spellStart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ProposalID</w:t>
      </w:r>
      <w:proofErr w:type="spellEnd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]_</w:t>
      </w:r>
      <w:proofErr w:type="spellStart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Tuition_other</w:t>
      </w:r>
      <w:proofErr w:type="spellEnd"/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”. This will feed into the webform for review.</w:t>
      </w:r>
    </w:p>
    <w:p w14:paraId="32A7762A" w14:textId="77777777" w:rsidR="00857336" w:rsidRPr="00857336" w:rsidRDefault="00857336" w:rsidP="00221F02">
      <w:pPr>
        <w:numPr>
          <w:ilvl w:val="2"/>
          <w:numId w:val="4"/>
        </w:numPr>
        <w:spacing w:after="150" w:line="390" w:lineRule="atLeast"/>
        <w:ind w:left="117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If the request is for an exception is due to the PI project being less than $75,000, the Dean (or designee) and the Vice President for Research, Scholarship, and Innovation (or designee) will review and approve the exception via the proposal approval form routing prior to submission</w:t>
      </w:r>
    </w:p>
    <w:p w14:paraId="5D6CF981" w14:textId="77777777" w:rsidR="00857336" w:rsidRPr="00857336" w:rsidRDefault="00857336" w:rsidP="00221F02">
      <w:pPr>
        <w:numPr>
          <w:ilvl w:val="1"/>
          <w:numId w:val="2"/>
        </w:numPr>
        <w:spacing w:after="0" w:line="390" w:lineRule="atLeast"/>
        <w:ind w:left="81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:u w:val="single"/>
          <w:bdr w:val="none" w:sz="0" w:space="0" w:color="auto" w:frame="1"/>
          <w14:ligatures w14:val="none"/>
        </w:rPr>
        <w:t>Exceptions Requests During Award Establishment:</w:t>
      </w: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 If a proposal that did not originally meet the exception criteria is subsequently awarded for less than $75,000 per year, an email approval from the Dean (or designee) should be routed to the Contract &amp; Grant Analyst during award establishment. The request for an exception will be sent to Vice President for Research, Scholarship and Innovation (or designee) for review and approval.</w:t>
      </w:r>
    </w:p>
    <w:p w14:paraId="38ACB84F" w14:textId="77777777" w:rsidR="00857336" w:rsidRPr="00857336" w:rsidRDefault="00857336" w:rsidP="00221F02">
      <w:pPr>
        <w:numPr>
          <w:ilvl w:val="0"/>
          <w:numId w:val="1"/>
        </w:numPr>
        <w:spacing w:after="0" w:line="390" w:lineRule="atLeast"/>
        <w:ind w:left="36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Post-Award Requirements</w:t>
      </w:r>
    </w:p>
    <w:p w14:paraId="55277E7F" w14:textId="77777777" w:rsidR="00857336" w:rsidRPr="00857336" w:rsidRDefault="00857336" w:rsidP="00221F02">
      <w:pPr>
        <w:numPr>
          <w:ilvl w:val="1"/>
          <w:numId w:val="5"/>
        </w:numPr>
        <w:spacing w:after="15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allocation of tuition costs must be allowable per the award guidelines and must not exceed the distribution of effort as reported through salary charges.</w:t>
      </w:r>
    </w:p>
    <w:p w14:paraId="672CB922" w14:textId="77777777" w:rsidR="00857336" w:rsidRPr="00857336" w:rsidRDefault="00857336" w:rsidP="00221F02">
      <w:pPr>
        <w:numPr>
          <w:ilvl w:val="1"/>
          <w:numId w:val="5"/>
        </w:numPr>
        <w:spacing w:after="15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Any re-budgeting of graduate student stipends should include the proportionate re-budgeting of tuition.</w:t>
      </w:r>
    </w:p>
    <w:p w14:paraId="39C735E1" w14:textId="77777777" w:rsidR="00857336" w:rsidRPr="00857336" w:rsidRDefault="00857336" w:rsidP="00221F02">
      <w:pPr>
        <w:numPr>
          <w:ilvl w:val="1"/>
          <w:numId w:val="5"/>
        </w:numPr>
        <w:spacing w:after="15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Department/college research administrators should routinely reconcile tuition expenses for fiscal compliance.</w:t>
      </w:r>
    </w:p>
    <w:p w14:paraId="2A6ABB20" w14:textId="77777777" w:rsidR="00857336" w:rsidRPr="00857336" w:rsidRDefault="00857336" w:rsidP="00221F02">
      <w:pPr>
        <w:numPr>
          <w:ilvl w:val="1"/>
          <w:numId w:val="5"/>
        </w:numPr>
        <w:spacing w:after="0" w:line="390" w:lineRule="atLeast"/>
        <w:ind w:left="90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The Research Office will review tuition expenses during the closeout process for the </w:t>
      </w:r>
      <w:hyperlink r:id="rId5" w:history="1">
        <w:r w:rsidRPr="00857336">
          <w:rPr>
            <w:rFonts w:ascii="Open Sans" w:eastAsia="Times New Roman" w:hAnsi="Open Sans" w:cs="Open Sans"/>
            <w:b/>
            <w:bCs/>
            <w:color w:val="0B386C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fall and spring semesters</w:t>
        </w:r>
      </w:hyperlink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 referencing the following student salary expense account codes:</w:t>
      </w:r>
    </w:p>
    <w:p w14:paraId="5B9991EA" w14:textId="77777777" w:rsidR="00857336" w:rsidRPr="00857336" w:rsidRDefault="00857336" w:rsidP="00221F02">
      <w:pPr>
        <w:numPr>
          <w:ilvl w:val="2"/>
          <w:numId w:val="6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122600 GRADUATE ASSISTANT (O/H CHARGE)</w:t>
      </w:r>
    </w:p>
    <w:p w14:paraId="2D7FAF4D" w14:textId="77777777" w:rsidR="00857336" w:rsidRPr="00857336" w:rsidRDefault="00857336" w:rsidP="00221F02">
      <w:pPr>
        <w:numPr>
          <w:ilvl w:val="2"/>
          <w:numId w:val="6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122610 GRADUATE TRAINEES</w:t>
      </w:r>
    </w:p>
    <w:p w14:paraId="1674E907" w14:textId="77777777" w:rsidR="00857336" w:rsidRPr="00857336" w:rsidRDefault="00857336" w:rsidP="00221F02">
      <w:pPr>
        <w:numPr>
          <w:ilvl w:val="2"/>
          <w:numId w:val="6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122700 GRADUATE FELLOW</w:t>
      </w:r>
    </w:p>
    <w:p w14:paraId="2DADB7F4" w14:textId="07A94ED1" w:rsidR="00A26FDF" w:rsidRPr="00221F02" w:rsidRDefault="00857336" w:rsidP="00221F02">
      <w:pPr>
        <w:numPr>
          <w:ilvl w:val="2"/>
          <w:numId w:val="6"/>
        </w:numPr>
        <w:spacing w:after="150" w:line="390" w:lineRule="atLeast"/>
        <w:ind w:left="1440"/>
        <w:textAlignment w:val="baseline"/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</w:pPr>
      <w:r w:rsidRPr="00857336">
        <w:rPr>
          <w:rFonts w:ascii="Open Sans" w:eastAsia="Times New Roman" w:hAnsi="Open Sans" w:cs="Open Sans"/>
          <w:color w:val="737373"/>
          <w:kern w:val="0"/>
          <w:sz w:val="21"/>
          <w:szCs w:val="21"/>
          <w14:ligatures w14:val="none"/>
        </w:rPr>
        <w:t>126900 GRAD STDT-ENROLLED &lt; 1/2 TIME</w:t>
      </w:r>
    </w:p>
    <w:sectPr w:rsidR="00A26FDF" w:rsidRPr="00221F02" w:rsidSect="00221F02">
      <w:pgSz w:w="12240" w:h="15840"/>
      <w:pgMar w:top="1089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35E"/>
    <w:multiLevelType w:val="multilevel"/>
    <w:tmpl w:val="B81C7C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3666140">
    <w:abstractNumId w:val="0"/>
  </w:num>
  <w:num w:numId="2" w16cid:durableId="557597984">
    <w:abstractNumId w:val="0"/>
  </w:num>
  <w:num w:numId="3" w16cid:durableId="2727849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 w16cid:durableId="47524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 w16cid:durableId="1635330705">
    <w:abstractNumId w:val="0"/>
  </w:num>
  <w:num w:numId="6" w16cid:durableId="171874738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36"/>
    <w:rsid w:val="000E1714"/>
    <w:rsid w:val="0014553A"/>
    <w:rsid w:val="00221F02"/>
    <w:rsid w:val="003C1905"/>
    <w:rsid w:val="006125B6"/>
    <w:rsid w:val="0080232F"/>
    <w:rsid w:val="00857336"/>
    <w:rsid w:val="00A26FDF"/>
    <w:rsid w:val="00E3166D"/>
    <w:rsid w:val="00E364FA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047E"/>
  <w15:chartTrackingRefBased/>
  <w15:docId w15:val="{DDB3C675-A0E3-4FEC-94EC-2395AB56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7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733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573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7336"/>
    <w:rPr>
      <w:color w:val="0000FF"/>
      <w:u w:val="single"/>
    </w:rPr>
  </w:style>
  <w:style w:type="paragraph" w:styleId="Revision">
    <w:name w:val="Revision"/>
    <w:hidden/>
    <w:uiPriority w:val="99"/>
    <w:semiHidden/>
    <w:rsid w:val="00857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1.udel.edu/registrar/c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Katie</dc:creator>
  <cp:keywords/>
  <dc:description/>
  <cp:lastModifiedBy>Barczak, David</cp:lastModifiedBy>
  <cp:revision>2</cp:revision>
  <dcterms:created xsi:type="dcterms:W3CDTF">2024-07-10T14:43:00Z</dcterms:created>
  <dcterms:modified xsi:type="dcterms:W3CDTF">2024-07-10T14:43:00Z</dcterms:modified>
</cp:coreProperties>
</file>